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0C407B" w:rsidRPr="0034529D" w:rsidTr="00E90AD4">
        <w:trPr>
          <w:trHeight w:val="1578"/>
        </w:trPr>
        <w:tc>
          <w:tcPr>
            <w:tcW w:w="946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529D" w:rsidRPr="00D57CD6" w:rsidRDefault="004916AE" w:rsidP="00D57CD6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57C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Информация</w:t>
            </w:r>
            <w:r w:rsidR="00D57CD6" w:rsidRPr="00D57C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br/>
            </w:r>
            <w:r w:rsidRPr="00D57C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по реализации Соглашения от 10.06.2010</w:t>
            </w:r>
            <w:r w:rsidR="00D57CD6" w:rsidRPr="00D57C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г. № </w:t>
            </w:r>
            <w:r w:rsidR="009B0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  <w:r w:rsidRPr="00D57C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5-д между Правительством Республики Хакасия и органом местного самоуправления городского округа (муниципального района) Республики Хакасия о совместных действиях в области социально-экономического развития</w:t>
            </w:r>
            <w:r w:rsidR="0034529D" w:rsidRPr="00D57C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2B0F39" w:rsidRPr="00D57C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за 201</w:t>
            </w:r>
            <w:r w:rsidR="007536FF" w:rsidRPr="00D57C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  <w:r w:rsidR="0034529D" w:rsidRPr="00D57C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год</w:t>
            </w:r>
          </w:p>
          <w:p w:rsidR="000C407B" w:rsidRPr="00D57CD6" w:rsidRDefault="000C407B" w:rsidP="00D6648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7B" w:rsidRPr="0034529D" w:rsidTr="00347512">
        <w:trPr>
          <w:trHeight w:val="46"/>
        </w:trPr>
        <w:tc>
          <w:tcPr>
            <w:tcW w:w="946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C407B" w:rsidRPr="00D57CD6" w:rsidRDefault="004916AE" w:rsidP="00D6648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57C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Администрация </w:t>
            </w:r>
            <w:r w:rsidR="002B0084" w:rsidRPr="00D57C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Усть-Абаканского</w:t>
            </w:r>
            <w:r w:rsidRPr="00D57C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район</w:t>
            </w:r>
            <w:r w:rsidR="002B0084" w:rsidRPr="00D57C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а</w:t>
            </w:r>
            <w:r w:rsidRPr="00D57C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:</w:t>
            </w:r>
          </w:p>
          <w:p w:rsidR="00783726" w:rsidRPr="00D57CD6" w:rsidRDefault="004916AE" w:rsidP="00D6648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7C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4.2.1. Создает условия для равного доступа населения к основным видам социальных услуг, способствует повышению уровня жизни населения, преодолению бедности, сокращению безработицы, проводит профилактику негативных социальных явлений, осуществляет обустройство и развитие производственной и социальной инфраструктуры</w:t>
            </w:r>
          </w:p>
          <w:p w:rsidR="00430C1D" w:rsidRPr="00D57CD6" w:rsidRDefault="004916AE" w:rsidP="00D6648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Проводником государственной политики в области социальной поддержки населения на территории Усть-Абаканского района является </w:t>
            </w:r>
            <w:r w:rsidR="004E396D" w:rsidRPr="00D57CD6">
              <w:rPr>
                <w:rFonts w:ascii="Times New Roman" w:hAnsi="Times New Roman" w:cs="Times New Roman"/>
                <w:sz w:val="26"/>
                <w:szCs w:val="26"/>
              </w:rPr>
              <w:t>Государственное казенное учреждение Республики Хакасия «Управление социальной поддержки населения Усть-Абаканского района»</w:t>
            </w:r>
            <w:r w:rsidR="004E396D" w:rsidRPr="00D57C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D57C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деятельность которого направлена </w:t>
            </w:r>
            <w:r w:rsidR="00430C1D" w:rsidRPr="00D57C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4E396D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единой государственной политики в области социальной поддержки населения района, обеспечение социальной защиты граждан в соответствии с действующим законодательством. </w:t>
            </w:r>
          </w:p>
          <w:p w:rsidR="0092667E" w:rsidRPr="00D57CD6" w:rsidRDefault="0092667E" w:rsidP="00D6648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В 2016 году ГКУ РХ «Управлением социальной поддержки населения </w:t>
            </w:r>
            <w:r w:rsidR="00812DA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района»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заключены государственные контракты:</w:t>
            </w:r>
          </w:p>
          <w:p w:rsidR="0092667E" w:rsidRPr="00D57CD6" w:rsidRDefault="0092667E" w:rsidP="00D6648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50599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услуг по бесплатному изготовлению и ремонту зубных </w:t>
            </w:r>
            <w:r w:rsidR="00E50599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протезов</w:t>
            </w:r>
            <w:proofErr w:type="gram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отдельным категориям граждан (ветераны труда, труженики тыла) на сумму</w:t>
            </w:r>
            <w:r w:rsidR="00812D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426</w:t>
            </w:r>
            <w:r w:rsidR="00812D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296,89 руб.;</w:t>
            </w:r>
          </w:p>
          <w:p w:rsidR="0092667E" w:rsidRPr="00D57CD6" w:rsidRDefault="0092667E" w:rsidP="00D6648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- оказание услуг связи на сумму 102</w:t>
            </w:r>
            <w:r w:rsidR="00812D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146,48 руб.;</w:t>
            </w:r>
          </w:p>
          <w:p w:rsidR="0092667E" w:rsidRPr="00D57CD6" w:rsidRDefault="0092667E" w:rsidP="00D6648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- оказание услуг по очистке сточных вод 1</w:t>
            </w:r>
            <w:r w:rsidR="00812D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300,57  руб.;</w:t>
            </w:r>
          </w:p>
          <w:p w:rsidR="0092667E" w:rsidRPr="00D57CD6" w:rsidRDefault="0092667E" w:rsidP="00D6648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- оказание услуг по подаче электроэнергии на сумму 53</w:t>
            </w:r>
            <w:r w:rsidR="00812D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520,21 руб.;</w:t>
            </w:r>
          </w:p>
          <w:p w:rsidR="0092667E" w:rsidRPr="00D57CD6" w:rsidRDefault="0092667E" w:rsidP="00D6648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- оказание услуг по подаче тепловой энергии на сумму 78</w:t>
            </w:r>
            <w:r w:rsidR="00812D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071,26 руб.;</w:t>
            </w:r>
          </w:p>
          <w:p w:rsidR="0092667E" w:rsidRPr="00D57CD6" w:rsidRDefault="0092667E" w:rsidP="00D6648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- оказание услуг по водоснабжению и водоотведению на сумму 5</w:t>
            </w:r>
            <w:r w:rsidR="00812D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450,67 руб</w:t>
            </w: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  <w:p w:rsidR="007536FF" w:rsidRPr="00D57CD6" w:rsidRDefault="007536FF" w:rsidP="00D6648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За 2016 год получили</w:t>
            </w:r>
            <w:r w:rsidR="00610325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субсидии на оплату жилищных и коммунал</w:t>
            </w:r>
            <w:r w:rsidR="00812DAF">
              <w:rPr>
                <w:rFonts w:ascii="Times New Roman" w:hAnsi="Times New Roman" w:cs="Times New Roman"/>
                <w:sz w:val="26"/>
                <w:szCs w:val="26"/>
              </w:rPr>
              <w:t xml:space="preserve">ьных услуг 422 семьи на сумму 6 </w:t>
            </w:r>
            <w:r w:rsidR="00610325" w:rsidRPr="00D57CD6">
              <w:rPr>
                <w:rFonts w:ascii="Times New Roman" w:hAnsi="Times New Roman" w:cs="Times New Roman"/>
                <w:sz w:val="26"/>
                <w:szCs w:val="26"/>
              </w:rPr>
              <w:t>174,6 тыс. рублей.</w:t>
            </w:r>
          </w:p>
          <w:p w:rsidR="00920FC0" w:rsidRPr="00D57CD6" w:rsidRDefault="0092667E" w:rsidP="00D6648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С целью улучшения жилищных условий ветеранов ВОВ жилищными комиссиями поселений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57CD6">
                <w:rPr>
                  <w:rFonts w:ascii="Times New Roman" w:hAnsi="Times New Roman" w:cs="Times New Roman"/>
                  <w:sz w:val="26"/>
                  <w:szCs w:val="26"/>
                </w:rPr>
                <w:t>2016 г</w:t>
              </w:r>
              <w:r w:rsidR="00812DAF">
                <w:rPr>
                  <w:rFonts w:ascii="Times New Roman" w:hAnsi="Times New Roman" w:cs="Times New Roman"/>
                  <w:sz w:val="26"/>
                  <w:szCs w:val="26"/>
                </w:rPr>
                <w:t xml:space="preserve">оду приобретено </w:t>
              </w:r>
            </w:smartTag>
            <w:r w:rsidR="00E50599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жилье </w:t>
            </w:r>
            <w:r w:rsidR="00812DAF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="00E50599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6 вдов УВОВ,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поставлен</w:t>
            </w:r>
            <w:r w:rsidR="00E50599" w:rsidRPr="00D57CD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на очередь на улучшение жилищных условий 2 вдовы УВОВ.</w:t>
            </w:r>
            <w:r w:rsidR="00920FC0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По подпрограмме «Социальная поддержка старшего поколения</w:t>
            </w:r>
            <w:r w:rsidR="00920FC0" w:rsidRPr="00D57C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  <w:r w:rsidR="00920FC0" w:rsidRPr="00D57CD6">
              <w:rPr>
                <w:rFonts w:ascii="Times New Roman" w:hAnsi="Times New Roman" w:cs="Times New Roman"/>
                <w:sz w:val="26"/>
                <w:szCs w:val="26"/>
              </w:rPr>
              <w:t>государственной программы Республики Хакасия «Социальная поддержка граждан (2014</w:t>
            </w:r>
            <w:r w:rsidR="00812DAF" w:rsidRPr="00D57CD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20FC0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2020 годы)» </w:t>
            </w:r>
            <w:r w:rsidR="00E50599" w:rsidRPr="00D57CD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20FC0" w:rsidRPr="00D57CD6">
              <w:rPr>
                <w:rFonts w:ascii="Times New Roman" w:hAnsi="Times New Roman" w:cs="Times New Roman"/>
                <w:sz w:val="26"/>
                <w:szCs w:val="26"/>
              </w:rPr>
              <w:t>казана материальная помощь 1</w:t>
            </w:r>
            <w:r w:rsidR="00E50599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участнику </w:t>
            </w:r>
            <w:r w:rsidR="00920FC0" w:rsidRPr="00D57CD6">
              <w:rPr>
                <w:rFonts w:ascii="Times New Roman" w:hAnsi="Times New Roman" w:cs="Times New Roman"/>
                <w:sz w:val="26"/>
                <w:szCs w:val="26"/>
              </w:rPr>
              <w:t>ВОВ, 1 вдов</w:t>
            </w:r>
            <w:r w:rsidR="00E50599" w:rsidRPr="00D57CD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20FC0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 Великой Отечественной войны, 3 труженика</w:t>
            </w:r>
            <w:r w:rsidR="00E50599" w:rsidRPr="00D57CD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20FC0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тыла на сумму 100 тыс. рублей.</w:t>
            </w:r>
          </w:p>
          <w:p w:rsidR="00920FC0" w:rsidRPr="00D57CD6" w:rsidRDefault="00920FC0" w:rsidP="00D6648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соответствии с Законом Республики Хакасия от 21.02.2014 № 11-ЗРХ   «Об оказании государственной социальной помощи малоимущим семьям и малоимущим одиноко проживающим гражданам на основании социального контракта в Республике Хакасия» оказана единовременная материальная</w:t>
            </w:r>
            <w:r w:rsidR="00E50599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помощь  7 семьям на сумму 315 тысяч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рублей: из них 4</w:t>
            </w:r>
            <w:r w:rsidR="00E50599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семь</w:t>
            </w:r>
            <w:r w:rsidR="00E50599" w:rsidRPr="00D57CD6">
              <w:rPr>
                <w:rFonts w:ascii="Times New Roman" w:hAnsi="Times New Roman" w:cs="Times New Roman"/>
                <w:sz w:val="26"/>
                <w:szCs w:val="26"/>
              </w:rPr>
              <w:t>ям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на приобретение подсобного хозяйства, 3 семь</w:t>
            </w:r>
            <w:r w:rsidR="00E50599" w:rsidRPr="00D57CD6">
              <w:rPr>
                <w:rFonts w:ascii="Times New Roman" w:hAnsi="Times New Roman" w:cs="Times New Roman"/>
                <w:sz w:val="26"/>
                <w:szCs w:val="26"/>
              </w:rPr>
              <w:t>ям -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на проведение ремонта жилого помещения.  </w:t>
            </w:r>
            <w:proofErr w:type="gramEnd"/>
          </w:p>
          <w:p w:rsidR="00920FC0" w:rsidRPr="00D57CD6" w:rsidRDefault="00920FC0" w:rsidP="00D6648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В 2016 году была предоставлена социальная выплата жителю </w:t>
            </w:r>
            <w:proofErr w:type="spell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оных</w:t>
            </w:r>
            <w:proofErr w:type="spell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Усть-Абаканского района в размере 70</w:t>
            </w:r>
            <w:r w:rsidR="00812D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тысяч</w:t>
            </w:r>
            <w:r w:rsidR="00812D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рублей, нуждающемуся в проведении ремонта (замены) крыши индивидуального жилого дома в рамках реализации </w:t>
            </w:r>
            <w:r w:rsidR="00812DAF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государственной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программы Республики Хакасия «Сохранение и развитие малых и отдаленных сел Республики Хакасии (2016</w:t>
            </w:r>
            <w:r w:rsidR="00812DAF" w:rsidRPr="00D57CD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2018 годы) и постановления Правительства Республики Хакасии об утверждении Порядка предоставления социальной выплаты отдельным категориям жителей малых и отдаленных сел Республики Хакасия для проведения ремонта (замены)</w:t>
            </w:r>
            <w:r w:rsidR="00E50599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крыши жилого дома.</w:t>
            </w:r>
          </w:p>
          <w:p w:rsidR="00C924C5" w:rsidRPr="00D57CD6" w:rsidRDefault="00C924C5" w:rsidP="00C924C5">
            <w:pPr>
              <w:pStyle w:val="a7"/>
              <w:spacing w:after="8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В целях исполнения полномочий района, определенных Федеральным законом от 06.10.2003 № 131-ФЗ «Об общих принципах организации местного самоуправления в Российской Федерации», в 2016 году действовали 4 регулярных автобусных межмуниципальных маршрута по регулируемым тарифам:</w:t>
            </w:r>
          </w:p>
          <w:p w:rsidR="00C924C5" w:rsidRPr="00D57CD6" w:rsidRDefault="00C924C5" w:rsidP="00C924C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- Усть-Абакан – </w:t>
            </w: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Московское</w:t>
            </w:r>
            <w:proofErr w:type="gram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2DAF" w:rsidRPr="00D57CD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В-</w:t>
            </w:r>
            <w:proofErr w:type="spell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Биджа</w:t>
            </w:r>
            <w:proofErr w:type="spell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924C5" w:rsidRPr="00D57CD6" w:rsidRDefault="00C924C5" w:rsidP="00C924C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- Усть-Абакан – Калинино </w:t>
            </w:r>
            <w:r w:rsidR="00812DAF" w:rsidRPr="00D57CD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812D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Ташеба</w:t>
            </w:r>
            <w:proofErr w:type="spell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2DAF" w:rsidRPr="00D57CD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Сапогово</w:t>
            </w:r>
            <w:proofErr w:type="spell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924C5" w:rsidRPr="00D57CD6" w:rsidRDefault="00C924C5" w:rsidP="00C924C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- Усть-Абакан – Расцвет – Тепличный </w:t>
            </w:r>
            <w:r w:rsidR="00812DAF" w:rsidRPr="00D57CD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Зеленое</w:t>
            </w:r>
            <w:proofErr w:type="gram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924C5" w:rsidRPr="00D57CD6" w:rsidRDefault="00C924C5" w:rsidP="00C924C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- Усть-Абакан – </w:t>
            </w:r>
            <w:proofErr w:type="spell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Чарков</w:t>
            </w:r>
            <w:proofErr w:type="spell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2DAF" w:rsidRPr="00D57CD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Ах-</w:t>
            </w:r>
            <w:proofErr w:type="spell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Хол</w:t>
            </w:r>
            <w:proofErr w:type="spell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C924C5" w:rsidRPr="00D57CD6" w:rsidRDefault="00C924C5" w:rsidP="00C924C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Для обеспечения данных маршрутов в 2016 году выплачены субсидии перевозчикам из районного бюджета 955,3 тыс. руб. В целях реализации законодательных федеральных и региональных актов по предоставлению мер социальной поддержки льготной категории граждан, были заключены договоры по перевозке льготной категории граждан маршрутными автобусами общего пользования по внутригородскому маршруту (маршрут № 5 Усть-Абакан) и пригородным маршрутам: (маршрут № 101 Усть-Абакан </w:t>
            </w:r>
            <w:r w:rsidR="00812DAF" w:rsidRPr="00D57CD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ерногорск</w:t>
            </w:r>
            <w:proofErr w:type="spell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; № </w:t>
            </w: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109 </w:t>
            </w:r>
            <w:r w:rsidR="00812DA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с. Солнечное </w:t>
            </w:r>
            <w:r w:rsidR="00812DAF" w:rsidRPr="00D57CD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г. Абакан; № 101 </w:t>
            </w:r>
            <w:proofErr w:type="spell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аал</w:t>
            </w:r>
            <w:proofErr w:type="spell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Сапогов </w:t>
            </w:r>
            <w:r w:rsidR="00812DAF" w:rsidRPr="00D57CD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г. Абакан; № 111 п. Ильича </w:t>
            </w:r>
            <w:r w:rsidR="00812DAF" w:rsidRPr="00D57CD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2DA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г. Абакан; № 135 </w:t>
            </w:r>
            <w:proofErr w:type="spell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аал</w:t>
            </w:r>
            <w:proofErr w:type="spell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Доможаков</w:t>
            </w:r>
            <w:proofErr w:type="spell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2DAF" w:rsidRPr="00D57CD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г. Абакан; № </w:t>
            </w:r>
            <w:smartTag w:uri="urn:schemas-microsoft-com:office:smarttags" w:element="metricconverter">
              <w:smartTagPr>
                <w:attr w:name="ProductID" w:val="110 г"/>
              </w:smartTagPr>
              <w:r w:rsidRPr="00D57CD6">
                <w:rPr>
                  <w:rFonts w:ascii="Times New Roman" w:hAnsi="Times New Roman" w:cs="Times New Roman"/>
                  <w:sz w:val="26"/>
                  <w:szCs w:val="26"/>
                </w:rPr>
                <w:t>110 г</w:t>
              </w:r>
            </w:smartTag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. Абакан </w:t>
            </w:r>
            <w:r w:rsidR="00812DAF" w:rsidRPr="00D57CD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д. Чапаево).</w:t>
            </w:r>
            <w:proofErr w:type="gramEnd"/>
          </w:p>
          <w:p w:rsidR="00617B93" w:rsidRPr="00D57CD6" w:rsidRDefault="00617B93" w:rsidP="00C924C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Федеральным законом от 24.06.1999 № 120–ФЗ </w:t>
            </w:r>
            <w:r w:rsidR="00EE238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«Об основах системы профилактики безнадзорности и правонарушений несовершеннолетних» и Закона Республики Хакасия от 08.07.2005 № 50-ЗРХ </w:t>
            </w:r>
            <w:r w:rsidR="00EE238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«О профилактике безнадзорности и правонарушений несовершеннолетних в Республики Хакасия» в 2016 году было проведено</w:t>
            </w:r>
            <w:r w:rsidR="00AB2D58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85 рейдов по неблагополучным семьям, выявлено 7 безнадзорных несовершеннолетних; из них 4 детей помещено на временное проживание ГКУ РХ «Центр для несовершеннолетних»;</w:t>
            </w:r>
            <w:proofErr w:type="gram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 с родителями направлено на временное проживание в кризисный центр п. Майна </w:t>
            </w:r>
            <w:r w:rsidR="00EE238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bookmarkStart w:id="0" w:name="_GoBack"/>
            <w:bookmarkEnd w:id="0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3 детей; поставлено на учет </w:t>
            </w:r>
            <w:r w:rsidR="00AB2D58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31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сем</w:t>
            </w:r>
            <w:r w:rsidR="00AB2D58" w:rsidRPr="00D57CD6">
              <w:rPr>
                <w:rFonts w:ascii="Times New Roman" w:hAnsi="Times New Roman" w:cs="Times New Roman"/>
                <w:sz w:val="26"/>
                <w:szCs w:val="26"/>
              </w:rPr>
              <w:t>ья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, находящи</w:t>
            </w:r>
            <w:r w:rsidR="00AB2D58" w:rsidRPr="00D57CD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ся в социально-опасном положении</w:t>
            </w:r>
            <w:r w:rsidR="00AB2D58" w:rsidRPr="00D57CD6">
              <w:rPr>
                <w:rFonts w:ascii="Times New Roman" w:hAnsi="Times New Roman" w:cs="Times New Roman"/>
                <w:sz w:val="26"/>
                <w:szCs w:val="26"/>
              </w:rPr>
              <w:t>. Н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аправлено на временное проживание в ГКУ РХ «Центр для несовершеннолетних» г. Черногорск 73 несовершеннолетних. По окончании срока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реабилитации 38 детей были возвращены в кровную семью, в настоящее время 11 несовершеннолетних продолжают проживать РЦ</w:t>
            </w:r>
            <w:r w:rsidR="00AB2D58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Состоит на социальном патронаже (</w:t>
            </w: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социальное</w:t>
            </w:r>
            <w:proofErr w:type="gram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патронировани</w:t>
            </w:r>
            <w:r w:rsidR="00D20B6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spell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семей с целью стабилизации морально-психологической и материальной обстановки)</w:t>
            </w:r>
            <w:r w:rsidR="00AB2D58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38 семей.</w:t>
            </w:r>
          </w:p>
          <w:p w:rsidR="00D030CD" w:rsidRPr="00D57CD6" w:rsidRDefault="00D030CD" w:rsidP="00D6648A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Планомерно и организованно проводилась оздоровительная к</w:t>
            </w:r>
            <w:r w:rsidR="00D20B6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мпания. Всего в 2016 году оздоровлено 4 192 ребенка (2014г. – 4 247 чел.; 2015г. – 4 553 чел.). Работали пришкольные лагеря с дневным пребыванием, загородный лагерь «Дружба», туристический палаточный лагерь «Вершина», пришкольные спортивные площадки, клубы по интересам, трудовые отряды старшеклассников, были организованы однодневные и многодневные туристические походы, экскурсии. Организованным отдыхом, в первую очередь, были охвачены дети, находящиеся в трудной жизненной ситуации и состоящие на профилактическом учете: 2014г. – 1 890 чел.; 2015г. – 1 615 чел.; 2016г. – 1 782 чел.</w:t>
            </w:r>
          </w:p>
          <w:p w:rsidR="00D030CD" w:rsidRPr="00D57CD6" w:rsidRDefault="00D030CD" w:rsidP="00D6648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4A18" w:rsidRPr="00D57CD6" w:rsidRDefault="005D4A18" w:rsidP="00D66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Среднемесячная начисленная заработная плата по Усть-Абаканскому району за отчетный год составила 25</w:t>
            </w:r>
            <w:r w:rsidR="00D20B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888,3 рубля и увеличилась по сравнению с январем-декабрем 2015 года на 2,3%. Средняя зарплата в декабре 2016 года обеспечивала 2,7 прожиточного минимума трудоспособного населения, установленного на 4 квартал 2016 года по Республике Хакасия. </w:t>
            </w: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Средний размер начисленной пенсии составил 11</w:t>
            </w:r>
            <w:r w:rsidR="00D20B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652,62 руб., рост по отношению к предыдущему году составил 102,9%. Соотношение среднего размера пенсии и среднемесячной заработной </w:t>
            </w:r>
            <w:proofErr w:type="spellStart"/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платв</w:t>
            </w:r>
            <w:proofErr w:type="spellEnd"/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составило 45 %.</w:t>
            </w:r>
          </w:p>
          <w:p w:rsidR="00263841" w:rsidRPr="00D57CD6" w:rsidRDefault="00263841" w:rsidP="00D6648A">
            <w:pPr>
              <w:tabs>
                <w:tab w:val="left" w:pos="9355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В 2016г. в отдел по Усть-Абаканскому району ГКУ РХ Центр занятости населения обратилось 919 граждан, проживающих на территории МО </w:t>
            </w:r>
            <w:r w:rsidR="00D20B6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br/>
            </w: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Усть-Абаканский район, в целях поиска работы, из них 658</w:t>
            </w:r>
            <w:r w:rsidRPr="00D57CD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человек были признаны безработными. По состоянию на 31.12.2016г. состояло на учете по безработице 330 безработных граждан, уровень регистрируемой безработицы составил 1,6</w:t>
            </w:r>
            <w:r w:rsidR="00D20B6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%.</w:t>
            </w:r>
          </w:p>
          <w:p w:rsidR="00263841" w:rsidRPr="00D57CD6" w:rsidRDefault="00263841" w:rsidP="00D6648A">
            <w:pPr>
              <w:tabs>
                <w:tab w:val="left" w:pos="9355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В течение 2016г. начислено и выплачено социальных выплат 1</w:t>
            </w:r>
            <w:r w:rsidR="00D20B6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017 безработным гражданам на сумму </w:t>
            </w:r>
            <w:r w:rsidR="00706CF2" w:rsidRPr="00D57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порядка 20 млн</w:t>
            </w:r>
            <w:proofErr w:type="gramStart"/>
            <w:r w:rsidR="00706CF2" w:rsidRPr="00D57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р</w:t>
            </w:r>
            <w:proofErr w:type="gramEnd"/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уб. (пособие по безработице, стипендия в период обучения, материальная помощь, материальная поддержка).</w:t>
            </w:r>
          </w:p>
          <w:p w:rsidR="00263841" w:rsidRPr="00D57CD6" w:rsidRDefault="00263841" w:rsidP="00D6648A">
            <w:pPr>
              <w:tabs>
                <w:tab w:val="left" w:pos="9355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Оказаны следующие государственные услуги:</w:t>
            </w:r>
          </w:p>
          <w:p w:rsidR="00263841" w:rsidRPr="00D57CD6" w:rsidRDefault="00263841" w:rsidP="00D6648A">
            <w:pPr>
              <w:tabs>
                <w:tab w:val="left" w:pos="9355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- содействие в трудоустройстве 579 гражданам;</w:t>
            </w:r>
          </w:p>
          <w:p w:rsidR="00263841" w:rsidRPr="00D57CD6" w:rsidRDefault="00263841" w:rsidP="00D6648A">
            <w:pPr>
              <w:tabs>
                <w:tab w:val="left" w:pos="9355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- организация временного трудоустройства 66</w:t>
            </w:r>
            <w:r w:rsidR="00706CF2" w:rsidRPr="00D57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несовершеннолетних гражданин</w:t>
            </w: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в свободное от учебы время, оказана материальная поддержка на сумму 59,3 тыс. руб., расходы работодателей составили 325,7 тыс. руб.;</w:t>
            </w:r>
          </w:p>
          <w:p w:rsidR="00263841" w:rsidRPr="00D57CD6" w:rsidRDefault="00263841" w:rsidP="00D6648A">
            <w:pPr>
              <w:tabs>
                <w:tab w:val="left" w:pos="9355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- организация общественных работ для 24 граждан, оказана материальная поддержка на сумму 27,1 тыс. руб., расходы работодателей составили 168,3 тыс. руб.;</w:t>
            </w:r>
          </w:p>
          <w:p w:rsidR="00263841" w:rsidRPr="00D57CD6" w:rsidRDefault="00263841" w:rsidP="00D6648A">
            <w:pPr>
              <w:tabs>
                <w:tab w:val="left" w:pos="9355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- организация временных работ для 4 граждан</w:t>
            </w:r>
            <w:r w:rsidR="00706CF2" w:rsidRPr="00D57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испытывающих трудности в поиске работы, оказана материальная поддержка на сумму 5,1 тыс. руб., расходы работодателей составили 32,3 тыс. руб.;</w:t>
            </w:r>
          </w:p>
          <w:p w:rsidR="00263841" w:rsidRPr="00D57CD6" w:rsidRDefault="00263841" w:rsidP="00D6648A">
            <w:pPr>
              <w:tabs>
                <w:tab w:val="left" w:pos="9355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- 452 гражданам оказаны </w:t>
            </w:r>
            <w:proofErr w:type="spellStart"/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профориентационные</w:t>
            </w:r>
            <w:proofErr w:type="spellEnd"/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услуги;</w:t>
            </w:r>
          </w:p>
          <w:p w:rsidR="00263841" w:rsidRPr="00D57CD6" w:rsidRDefault="00263841" w:rsidP="00D6648A">
            <w:pPr>
              <w:tabs>
                <w:tab w:val="left" w:pos="9355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- 20 безработных граждан и 3 женщины, находящихся в отпуске по уходу за ребенком до достижения им возраста 3-х лет</w:t>
            </w:r>
            <w:r w:rsidR="00706CF2" w:rsidRPr="00D57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направлено на </w:t>
            </w:r>
            <w:proofErr w:type="spellStart"/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профобучение</w:t>
            </w:r>
            <w:proofErr w:type="spellEnd"/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, повышение квалификации, переподготовку, израсходовано 157,1 тыс. руб.;</w:t>
            </w:r>
          </w:p>
          <w:p w:rsidR="00263841" w:rsidRPr="00D57CD6" w:rsidRDefault="00263841" w:rsidP="00D6648A">
            <w:pPr>
              <w:tabs>
                <w:tab w:val="left" w:pos="9355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- 21 безработн</w:t>
            </w:r>
            <w:r w:rsidR="00D20B6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ому </w:t>
            </w: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граждан</w:t>
            </w:r>
            <w:r w:rsidR="00D20B6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ину </w:t>
            </w: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оказана услуга по содействию </w:t>
            </w:r>
            <w:proofErr w:type="spellStart"/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самозанятости</w:t>
            </w:r>
            <w:proofErr w:type="spellEnd"/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, 2 гражданам оказана единовременная финансовая помощь в сумме 240 тыс. руб.;</w:t>
            </w:r>
          </w:p>
          <w:p w:rsidR="00263841" w:rsidRPr="00D57CD6" w:rsidRDefault="00263841" w:rsidP="00D6648A">
            <w:pPr>
              <w:tabs>
                <w:tab w:val="left" w:pos="9355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- 61</w:t>
            </w:r>
            <w:r w:rsidRPr="00D57CD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безработн</w:t>
            </w:r>
            <w:r w:rsidR="00D20B6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ому </w:t>
            </w: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граждан</w:t>
            </w:r>
            <w:r w:rsidR="00D20B6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ину </w:t>
            </w: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оказана услуга по социальной адаптации;</w:t>
            </w:r>
          </w:p>
          <w:p w:rsidR="00263841" w:rsidRPr="00D57CD6" w:rsidRDefault="00263841" w:rsidP="00D6648A">
            <w:pPr>
              <w:tabs>
                <w:tab w:val="left" w:pos="9355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- 60 безработным гражданам оказана услу</w:t>
            </w:r>
            <w:r w:rsidR="00706CF2" w:rsidRPr="00D57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га по психологической поддержке.</w:t>
            </w:r>
          </w:p>
          <w:p w:rsidR="00706CF2" w:rsidRPr="00D57CD6" w:rsidRDefault="00263841" w:rsidP="00D6648A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6"/>
                <w:szCs w:val="26"/>
              </w:rPr>
            </w:pPr>
            <w:r w:rsidRPr="00D57CD6">
              <w:rPr>
                <w:sz w:val="26"/>
                <w:szCs w:val="26"/>
              </w:rPr>
              <w:t xml:space="preserve">В 2016г. реализована региональная программа дополнительных мероприятий, направленных на снижение напряженности на рынке труда Республики Хакасия, по Усть-Абаканскому району: трудоустроено 2 выпускника по профессии (специальности) «экономист», компенсация работодателю на оплату труда из средств регионального бюджета составила 72 тыс. руб. </w:t>
            </w:r>
          </w:p>
          <w:p w:rsidR="00AC0887" w:rsidRPr="00D57CD6" w:rsidRDefault="00AC0887" w:rsidP="00D6648A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целях </w:t>
            </w:r>
            <w:r w:rsidRPr="00D57C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профилактики негативных социальных явлений</w:t>
            </w: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r w:rsidR="007653B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Усть-Абаканском районе действует муниципальная программа «</w:t>
            </w:r>
            <w:r w:rsidRPr="00D57CD6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общественного порядка и противодействие преступности в Усть-Абаканском районе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(2014–2020г.)».</w:t>
            </w:r>
          </w:p>
          <w:p w:rsidR="00AC0887" w:rsidRPr="00D57CD6" w:rsidRDefault="00AC0887" w:rsidP="00D6648A">
            <w:pPr>
              <w:pStyle w:val="Style5"/>
              <w:widowControl/>
              <w:spacing w:line="276" w:lineRule="auto"/>
              <w:ind w:firstLine="709"/>
              <w:rPr>
                <w:rStyle w:val="FontStyle15"/>
                <w:rFonts w:eastAsiaTheme="majorEastAsia"/>
                <w:sz w:val="26"/>
                <w:szCs w:val="26"/>
              </w:rPr>
            </w:pPr>
            <w:r w:rsidRPr="00D57CD6">
              <w:rPr>
                <w:rStyle w:val="FontStyle15"/>
                <w:rFonts w:eastAsiaTheme="majorEastAsia"/>
                <w:sz w:val="26"/>
                <w:szCs w:val="26"/>
              </w:rPr>
              <w:t>На территории района последовательно реализуются меры по профилактике правонарушений, направленные на обеспечение общественного порядка и безопасности населения совместно с правоохранительными органами во взаимодействии с администрациями сельских поселений и другими субъектами профилактики.</w:t>
            </w:r>
          </w:p>
          <w:p w:rsidR="00317136" w:rsidRPr="00D57CD6" w:rsidRDefault="00317136" w:rsidP="00D6648A">
            <w:pPr>
              <w:pStyle w:val="Style5"/>
              <w:widowControl/>
              <w:spacing w:line="276" w:lineRule="auto"/>
              <w:ind w:firstLine="709"/>
              <w:rPr>
                <w:rStyle w:val="FontStyle15"/>
                <w:sz w:val="26"/>
                <w:szCs w:val="26"/>
              </w:rPr>
            </w:pPr>
            <w:r w:rsidRPr="00D57CD6">
              <w:rPr>
                <w:rStyle w:val="FontStyle15"/>
                <w:sz w:val="26"/>
                <w:szCs w:val="26"/>
              </w:rPr>
              <w:t>В районе действуют 3 муниципальные программы правоохранительной направленности:</w:t>
            </w:r>
          </w:p>
          <w:p w:rsidR="00317136" w:rsidRPr="00D57CD6" w:rsidRDefault="00317136" w:rsidP="00D6648A">
            <w:pPr>
              <w:pStyle w:val="Style5"/>
              <w:widowControl/>
              <w:spacing w:line="276" w:lineRule="auto"/>
              <w:ind w:firstLine="709"/>
              <w:rPr>
                <w:rStyle w:val="FontStyle15"/>
                <w:sz w:val="26"/>
                <w:szCs w:val="26"/>
              </w:rPr>
            </w:pPr>
            <w:r w:rsidRPr="00D57CD6">
              <w:rPr>
                <w:rStyle w:val="FontStyle15"/>
                <w:sz w:val="26"/>
                <w:szCs w:val="26"/>
              </w:rPr>
              <w:t>- «Обеспечение общественного порядка и противодействие преступности в Усть-Абаканском районе (2014</w:t>
            </w:r>
            <w:r w:rsidR="00682DAD" w:rsidRPr="00D57CD6">
              <w:rPr>
                <w:sz w:val="26"/>
                <w:szCs w:val="26"/>
              </w:rPr>
              <w:t>–</w:t>
            </w:r>
            <w:r w:rsidRPr="00D57CD6">
              <w:rPr>
                <w:rStyle w:val="FontStyle15"/>
                <w:sz w:val="26"/>
                <w:szCs w:val="26"/>
              </w:rPr>
              <w:t>2020 годы);</w:t>
            </w:r>
          </w:p>
          <w:p w:rsidR="00317136" w:rsidRPr="00D57CD6" w:rsidRDefault="00317136" w:rsidP="00D6648A">
            <w:pPr>
              <w:pStyle w:val="Style5"/>
              <w:widowControl/>
              <w:spacing w:line="276" w:lineRule="auto"/>
              <w:ind w:firstLine="709"/>
              <w:rPr>
                <w:sz w:val="26"/>
                <w:szCs w:val="26"/>
              </w:rPr>
            </w:pPr>
            <w:r w:rsidRPr="00D57CD6">
              <w:rPr>
                <w:rStyle w:val="FontStyle15"/>
                <w:sz w:val="26"/>
                <w:szCs w:val="26"/>
              </w:rPr>
              <w:t xml:space="preserve">- </w:t>
            </w:r>
            <w:r w:rsidRPr="00D57CD6">
              <w:rPr>
                <w:sz w:val="26"/>
                <w:szCs w:val="26"/>
              </w:rPr>
              <w:t>«Противодействие незаконному обороту наркотиков, снижение масштабов наркотизации населения в Усть-Абаканском районе (2014</w:t>
            </w:r>
            <w:r w:rsidR="00682DAD" w:rsidRPr="00D57CD6">
              <w:rPr>
                <w:sz w:val="26"/>
                <w:szCs w:val="26"/>
              </w:rPr>
              <w:t>–</w:t>
            </w:r>
            <w:r w:rsidRPr="00D57CD6">
              <w:rPr>
                <w:sz w:val="26"/>
                <w:szCs w:val="26"/>
              </w:rPr>
              <w:t>2020годы)».</w:t>
            </w:r>
          </w:p>
          <w:p w:rsidR="00317136" w:rsidRPr="00D57CD6" w:rsidRDefault="00317136" w:rsidP="00D6648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>«Защита населения и территорий Усть-Абаканского района от чрезвычайных ситуаций, обеспечение пожарной безопасности и безопасности людей на водных объектах (2014</w:t>
            </w:r>
            <w:r w:rsidR="00682DAD" w:rsidRPr="00D57CD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годы)»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17136" w:rsidRPr="00D57CD6" w:rsidRDefault="00317136" w:rsidP="00D6648A">
            <w:pPr>
              <w:pStyle w:val="a5"/>
              <w:spacing w:before="0" w:beforeAutospacing="0" w:after="0" w:afterAutospacing="0" w:line="276" w:lineRule="auto"/>
              <w:ind w:firstLine="709"/>
              <w:jc w:val="both"/>
              <w:rPr>
                <w:sz w:val="26"/>
                <w:szCs w:val="26"/>
              </w:rPr>
            </w:pPr>
            <w:r w:rsidRPr="00D57CD6">
              <w:rPr>
                <w:sz w:val="26"/>
                <w:szCs w:val="26"/>
              </w:rPr>
              <w:t xml:space="preserve">В целях повышения эффективности работы, в районе работают: межведомственная комиссия по профилактике правонарушений; комиссия по делам несовершеннолетних и защите их права; административная комиссия; комиссия по обеспечению безопасности дорожного движения; антинаркотическая комиссия; антитеррористическая комиссия. </w:t>
            </w:r>
          </w:p>
          <w:p w:rsidR="00AC0887" w:rsidRPr="00D57CD6" w:rsidRDefault="00317136" w:rsidP="00D6648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утвержденным планом работы, в 2016 году проведены четыре плановых заседаний </w:t>
            </w:r>
            <w:r w:rsidR="00334635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межведомственной комиссии по профилактике правонарушений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МВКПП, одно внеплановое заседание при главе </w:t>
            </w:r>
            <w:r w:rsidR="00682DA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района, председателе МВКПП</w:t>
            </w:r>
            <w:r w:rsidRPr="00D57C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gramStart"/>
            <w:r w:rsidRPr="00D57CD6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D57C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которых рассмотрено 10 плановых вопросов и 6 дополнительных. По итогам заседаний комиссии были </w:t>
            </w:r>
            <w:r w:rsidRPr="00D57CD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даны 98 рекомендаций,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осуществлялся контроль над выполнением решений комиссии. </w:t>
            </w:r>
          </w:p>
          <w:p w:rsidR="00AC0887" w:rsidRPr="00D57CD6" w:rsidRDefault="00317136" w:rsidP="00D6648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="00AC0887"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>айонн</w:t>
            </w: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>ой</w:t>
            </w:r>
            <w:r w:rsidR="00AC0887"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административн</w:t>
            </w: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>ой</w:t>
            </w:r>
            <w:r w:rsidR="00AC0887"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</w:t>
            </w: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>ей</w:t>
            </w:r>
            <w:r w:rsidR="00AC0887"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проведено 20 заседаний, рассмотрено и привлечено к административной ответственности 115 </w:t>
            </w:r>
            <w:r w:rsidR="006C4B57"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  <w:r w:rsidR="00334635"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>. К</w:t>
            </w:r>
            <w:r w:rsidR="00AC0887"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>омисси</w:t>
            </w:r>
            <w:r w:rsidR="00334635"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>ей</w:t>
            </w:r>
            <w:r w:rsidR="00AC0887"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делам несовершеннолетних и защите их прав</w:t>
            </w:r>
            <w:r w:rsidR="009D1B28"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проведено 24 заседания</w:t>
            </w:r>
            <w:r w:rsidR="00AC0887"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9D1B28"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которых рассмотрено 42 </w:t>
            </w:r>
            <w:r w:rsidR="00AC0887"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вопроса, 318 дел, в том числе </w:t>
            </w:r>
            <w:r w:rsidR="00334635"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250 </w:t>
            </w:r>
            <w:r w:rsidR="00AC0887"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административных  материалов.</w:t>
            </w:r>
          </w:p>
          <w:p w:rsidR="00334635" w:rsidRPr="00D57CD6" w:rsidRDefault="00334635" w:rsidP="00D6648A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Проводится планомерная работа по вопросам организации деятельности народных дружин и общественных объединений правоохранительной направленности в соответствии с требованиями Федеральных Законов. Н</w:t>
            </w:r>
            <w:r w:rsidRPr="00D57CD6">
              <w:rPr>
                <w:rStyle w:val="FontStyle15"/>
                <w:sz w:val="26"/>
                <w:szCs w:val="26"/>
              </w:rPr>
              <w:t>а сегодняшний день количество добровольных формирований правоохранительной направленности, действующих на территории Усть-Абаканского района</w:t>
            </w:r>
            <w:r w:rsidR="002070F7" w:rsidRPr="00D57CD6">
              <w:rPr>
                <w:rStyle w:val="FontStyle15"/>
                <w:sz w:val="26"/>
                <w:szCs w:val="26"/>
              </w:rPr>
              <w:t xml:space="preserve">, </w:t>
            </w:r>
            <w:r w:rsidR="005A2A3B" w:rsidRPr="00D57CD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57CD6">
              <w:rPr>
                <w:rStyle w:val="FontStyle15"/>
                <w:sz w:val="26"/>
                <w:szCs w:val="26"/>
              </w:rPr>
              <w:t xml:space="preserve"> 14</w:t>
            </w:r>
            <w:r w:rsidR="002070F7" w:rsidRPr="00D57CD6">
              <w:rPr>
                <w:rStyle w:val="FontStyle15"/>
                <w:sz w:val="26"/>
                <w:szCs w:val="26"/>
              </w:rPr>
              <w:t>, и</w:t>
            </w:r>
            <w:r w:rsidRPr="00D57CD6">
              <w:rPr>
                <w:rStyle w:val="FontStyle15"/>
                <w:sz w:val="26"/>
                <w:szCs w:val="26"/>
              </w:rPr>
              <w:t>з них</w:t>
            </w:r>
            <w:r w:rsidR="002070F7" w:rsidRPr="00D57CD6">
              <w:rPr>
                <w:rStyle w:val="FontStyle15"/>
                <w:sz w:val="26"/>
                <w:szCs w:val="26"/>
              </w:rPr>
              <w:t xml:space="preserve"> 13</w:t>
            </w:r>
            <w:r w:rsidRPr="00D57CD6">
              <w:rPr>
                <w:rStyle w:val="FontStyle15"/>
                <w:sz w:val="26"/>
                <w:szCs w:val="26"/>
              </w:rPr>
              <w:t xml:space="preserve"> добровольных народных дружин</w:t>
            </w:r>
            <w:r w:rsidR="002070F7" w:rsidRPr="00D57CD6">
              <w:rPr>
                <w:rStyle w:val="FontStyle15"/>
                <w:sz w:val="26"/>
                <w:szCs w:val="26"/>
              </w:rPr>
              <w:t xml:space="preserve"> и 1</w:t>
            </w:r>
            <w:r w:rsidRPr="00D57CD6">
              <w:rPr>
                <w:rStyle w:val="FontStyle15"/>
                <w:sz w:val="26"/>
                <w:szCs w:val="26"/>
              </w:rPr>
              <w:t xml:space="preserve"> Усть-</w:t>
            </w:r>
            <w:r w:rsidR="002070F7" w:rsidRPr="00D57CD6">
              <w:rPr>
                <w:rStyle w:val="FontStyle15"/>
                <w:sz w:val="26"/>
                <w:szCs w:val="26"/>
              </w:rPr>
              <w:t>Абаканское хуторское общество</w:t>
            </w:r>
            <w:r w:rsidRPr="00D57CD6">
              <w:rPr>
                <w:rStyle w:val="FontStyle15"/>
                <w:sz w:val="26"/>
                <w:szCs w:val="26"/>
              </w:rPr>
              <w:t xml:space="preserve">. Численность членов добровольных формирований </w:t>
            </w:r>
            <w:r w:rsidR="005A2A3B" w:rsidRPr="00D57CD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57CD6">
              <w:rPr>
                <w:rStyle w:val="FontStyle15"/>
                <w:sz w:val="26"/>
                <w:szCs w:val="26"/>
              </w:rPr>
              <w:t xml:space="preserve"> 220 человек, из них молодежи в возрасте до 35 лет </w:t>
            </w:r>
            <w:r w:rsidR="005A2A3B" w:rsidRPr="00D57CD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57CD6">
              <w:rPr>
                <w:rStyle w:val="FontStyle15"/>
                <w:sz w:val="26"/>
                <w:szCs w:val="26"/>
              </w:rPr>
              <w:t xml:space="preserve"> 50 человек, что составляет 22</w:t>
            </w:r>
            <w:r w:rsidR="005A2A3B">
              <w:rPr>
                <w:rStyle w:val="FontStyle15"/>
                <w:sz w:val="26"/>
                <w:szCs w:val="26"/>
              </w:rPr>
              <w:t>,</w:t>
            </w:r>
            <w:r w:rsidRPr="00D57CD6">
              <w:rPr>
                <w:rStyle w:val="FontStyle15"/>
                <w:sz w:val="26"/>
                <w:szCs w:val="26"/>
              </w:rPr>
              <w:t>7</w:t>
            </w:r>
            <w:r w:rsidR="005A2A3B">
              <w:rPr>
                <w:rStyle w:val="FontStyle15"/>
                <w:sz w:val="26"/>
                <w:szCs w:val="26"/>
              </w:rPr>
              <w:t xml:space="preserve"> </w:t>
            </w:r>
            <w:r w:rsidRPr="00D57CD6">
              <w:rPr>
                <w:rStyle w:val="FontStyle15"/>
                <w:sz w:val="26"/>
                <w:szCs w:val="26"/>
              </w:rPr>
              <w:t>% от общего количества членов добровольных формирований.</w:t>
            </w:r>
          </w:p>
          <w:p w:rsidR="00334635" w:rsidRPr="00D57CD6" w:rsidRDefault="00334635" w:rsidP="00D6648A">
            <w:pPr>
              <w:pStyle w:val="Style5"/>
              <w:widowControl/>
              <w:spacing w:line="276" w:lineRule="auto"/>
              <w:ind w:firstLine="709"/>
              <w:rPr>
                <w:rStyle w:val="FontStyle15"/>
                <w:rFonts w:eastAsiaTheme="majorEastAsia"/>
                <w:sz w:val="26"/>
                <w:szCs w:val="26"/>
              </w:rPr>
            </w:pPr>
            <w:r w:rsidRPr="00D57CD6">
              <w:rPr>
                <w:rStyle w:val="FontStyle15"/>
                <w:rFonts w:eastAsiaTheme="majorEastAsia"/>
                <w:sz w:val="26"/>
                <w:szCs w:val="26"/>
              </w:rPr>
              <w:t>Члены общественных объединений участвовали в обеспечении охраны общественного порядка при проведении массовых мероприятий, в 40 культурно-зрелищных мероприятиях, в 24 культурно-оздоровительных. С их участием при проведении рейдовых мероприятий было пресечено 83 административных правонарушений и задержано 3 лица за совершение преступлений.</w:t>
            </w:r>
          </w:p>
          <w:p w:rsidR="002070F7" w:rsidRPr="00D57CD6" w:rsidRDefault="002070F7" w:rsidP="00D6648A">
            <w:pPr>
              <w:tabs>
                <w:tab w:val="left" w:pos="0"/>
                <w:tab w:val="left" w:pos="709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>За 12 месяцев 2016 года количество преступлений на территории обслуживания ОМВД в сравнении с аналогичным периодом прошлого года снизилось на 13,8</w:t>
            </w:r>
            <w:r w:rsidR="005A2A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>% и отмечается по всем основным объектам преступных посягательств:</w:t>
            </w:r>
          </w:p>
          <w:p w:rsidR="002070F7" w:rsidRPr="00D57CD6" w:rsidRDefault="002070F7" w:rsidP="00D6648A">
            <w:pPr>
              <w:tabs>
                <w:tab w:val="left" w:pos="0"/>
                <w:tab w:val="left" w:pos="709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>- сотовые телефоны на 43,5</w:t>
            </w:r>
            <w:r w:rsidR="005A2A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>% (с 62 до 35);</w:t>
            </w:r>
          </w:p>
          <w:p w:rsidR="002070F7" w:rsidRPr="00D57CD6" w:rsidRDefault="002070F7" w:rsidP="00D6648A">
            <w:pPr>
              <w:tabs>
                <w:tab w:val="left" w:pos="0"/>
                <w:tab w:val="left" w:pos="709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>- скот на 20,5</w:t>
            </w:r>
            <w:r w:rsidR="005A2A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% (с 44 до 35), </w:t>
            </w:r>
          </w:p>
          <w:p w:rsidR="002070F7" w:rsidRPr="00D57CD6" w:rsidRDefault="002070F7" w:rsidP="00D6648A">
            <w:pPr>
              <w:tabs>
                <w:tab w:val="left" w:pos="0"/>
                <w:tab w:val="left" w:pos="709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>- цветной металл на 50,0</w:t>
            </w:r>
            <w:r w:rsidR="005A2A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>% (с 28 до 14);</w:t>
            </w:r>
          </w:p>
          <w:p w:rsidR="002070F7" w:rsidRPr="00D57CD6" w:rsidRDefault="002070F7" w:rsidP="00D6648A">
            <w:pPr>
              <w:tabs>
                <w:tab w:val="left" w:pos="0"/>
                <w:tab w:val="left" w:pos="709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>- транспортные средства на 64,7</w:t>
            </w:r>
            <w:r w:rsidR="005A2A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>% (с 17 до 6).</w:t>
            </w:r>
          </w:p>
          <w:p w:rsidR="002070F7" w:rsidRPr="00D57CD6" w:rsidRDefault="002070F7" w:rsidP="00D6648A">
            <w:pPr>
              <w:tabs>
                <w:tab w:val="left" w:pos="0"/>
                <w:tab w:val="left" w:pos="709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преступлений, совершенных несовершеннолетними, снизилось на 64,6</w:t>
            </w:r>
            <w:r w:rsidR="005A2A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>% (с 48 до 17). Их удельный вес в структуре расследованных преступлений составляет 2,6</w:t>
            </w:r>
            <w:r w:rsidR="005A2A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>% (АППГ 7,1</w:t>
            </w:r>
            <w:r w:rsidR="005A2A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>%).</w:t>
            </w:r>
          </w:p>
          <w:p w:rsidR="00A604B4" w:rsidRPr="00D57CD6" w:rsidRDefault="000D0C3B" w:rsidP="00D6648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целях противодействия незаконного оборота наркотических веществ запланировано и проведено уничтожение очагов произрастания дикорастущей конопли механическим и химическим способом. </w:t>
            </w:r>
            <w:r w:rsidR="00A604B4" w:rsidRPr="00D57CD6">
              <w:rPr>
                <w:rFonts w:ascii="Times New Roman" w:hAnsi="Times New Roman" w:cs="Times New Roman"/>
                <w:sz w:val="26"/>
                <w:szCs w:val="26"/>
              </w:rPr>
              <w:t>В 2016 году уничтожено дикорастущей конопли на площади 233,9 га, в том числе с применением гербицида «Торнадо» на площади 150 га., привлечено 314,7 тыс</w:t>
            </w:r>
            <w:proofErr w:type="gramStart"/>
            <w:r w:rsidR="00A604B4" w:rsidRPr="00D57CD6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A604B4" w:rsidRPr="00D57CD6">
              <w:rPr>
                <w:rFonts w:ascii="Times New Roman" w:hAnsi="Times New Roman" w:cs="Times New Roman"/>
                <w:sz w:val="26"/>
                <w:szCs w:val="26"/>
              </w:rPr>
              <w:t>уб. из бюджета Республики Хакасия.</w:t>
            </w:r>
          </w:p>
          <w:p w:rsidR="00AC018B" w:rsidRPr="00D57CD6" w:rsidRDefault="00751BD3" w:rsidP="00D6648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целях </w:t>
            </w:r>
            <w:r w:rsidRPr="00D57C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развития социальной инфраструктуры</w:t>
            </w: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 также создания условий для реализации социальных гарантий человека на дошкольное образование и обеспечение равных стартовых возможностей при поступлении ребенка в школу, в рамках муниципальной программы «Развитие образования в </w:t>
            </w: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Усть-Абаканском районе (2014</w:t>
            </w: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Symbol" w:char="002D"/>
            </w: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годы)» были продолжены меры по обеспечению доступности дошкольного образования.</w:t>
            </w:r>
            <w:r w:rsidR="00084AFE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дошкольного образования в 2016 году реализовали 23 организации, в том числе 8 дошкольных образовательных организаций, 13 структурных подразделений и 2 общеобразовательные школы. </w:t>
            </w:r>
            <w:proofErr w:type="spellStart"/>
            <w:r w:rsidR="00084AFE" w:rsidRPr="00D57CD6">
              <w:rPr>
                <w:rFonts w:ascii="Times New Roman" w:hAnsi="Times New Roman" w:cs="Times New Roman"/>
                <w:sz w:val="26"/>
                <w:szCs w:val="26"/>
              </w:rPr>
              <w:t>Предшкольную</w:t>
            </w:r>
            <w:proofErr w:type="spellEnd"/>
            <w:r w:rsidR="00084AFE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подготовку получали 115 детей; 210 детей посещали группы кратковременного пребывания. В д. Чапаево функционировала семейная группа детского сада для 13 детей. Доступность дошкольного образования в отдаленных населенных пунктах обеспечивалась в условиях выездных консультационных пунктов педагогами закрепленных образовательных организаций: 1 648 детей были охвачены услугами дошкольного образования в форме консультаций.</w:t>
            </w:r>
            <w:r w:rsidR="00AC018B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Своевременное выполнение Указов Президента РФ от 07.05.2012 № 599 позволило обеспечить ликвидацию очередности детей в возрасте 3-7 лет на зачисление в детский сад и сократить очередность детей в возрасте 1-6 лет на 2,5</w:t>
            </w:r>
            <w:r w:rsidR="005A2A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018B" w:rsidRPr="00D57CD6">
              <w:rPr>
                <w:rFonts w:ascii="Times New Roman" w:hAnsi="Times New Roman" w:cs="Times New Roman"/>
                <w:sz w:val="26"/>
                <w:szCs w:val="26"/>
              </w:rPr>
              <w:t>% (2014г. – 15,08</w:t>
            </w:r>
            <w:r w:rsidR="005A2A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018B" w:rsidRPr="00D57CD6">
              <w:rPr>
                <w:rFonts w:ascii="Times New Roman" w:hAnsi="Times New Roman" w:cs="Times New Roman"/>
                <w:sz w:val="26"/>
                <w:szCs w:val="26"/>
              </w:rPr>
              <w:t>%; 2015г. – 12,10</w:t>
            </w:r>
            <w:r w:rsidR="005A2A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018B" w:rsidRPr="00D57CD6">
              <w:rPr>
                <w:rFonts w:ascii="Times New Roman" w:hAnsi="Times New Roman" w:cs="Times New Roman"/>
                <w:sz w:val="26"/>
                <w:szCs w:val="26"/>
              </w:rPr>
              <w:t>%; 2016г. – 10,5</w:t>
            </w:r>
            <w:r w:rsidR="005A2A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018B" w:rsidRPr="00D57CD6">
              <w:rPr>
                <w:rFonts w:ascii="Times New Roman" w:hAnsi="Times New Roman" w:cs="Times New Roman"/>
                <w:sz w:val="26"/>
                <w:szCs w:val="26"/>
              </w:rPr>
              <w:t>%).</w:t>
            </w:r>
          </w:p>
          <w:p w:rsidR="00084AFE" w:rsidRPr="00D57CD6" w:rsidRDefault="00084AFE" w:rsidP="00D66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В 2016 году произведены работы по благоустройству и оформлению детских площадок на территории новых зданий детского сада в д. Чапаево </w:t>
            </w:r>
            <w:r w:rsidR="005A2A3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(9</w:t>
            </w:r>
            <w:r w:rsidR="00286569" w:rsidRPr="00D57C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5A2A3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руб.). В ходе подготовки к зиме выполнен капитальный ремонт холодного водоснабжения в НШ–ДС «Росток» п. Тепличный (380,0 тыс. руб.); отремонтирована канализация в детских садах «Ласточка» и «Солнышко» </w:t>
            </w:r>
            <w:r w:rsidR="00512AD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(340,0 тыс. руб.). В результате, дошкольные образовательные организации работали в безаварийном режиме.</w:t>
            </w:r>
          </w:p>
          <w:p w:rsidR="00AC018B" w:rsidRPr="00D57CD6" w:rsidRDefault="00AC018B" w:rsidP="00D66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contextualSpacing/>
              <w:jc w:val="both"/>
              <w:rPr>
                <w:rStyle w:val="af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В 2016 году выполнен большой объем работ по обеспечению стабильной и </w:t>
            </w:r>
            <w:r w:rsidRPr="00D57CD6">
              <w:rPr>
                <w:rStyle w:val="af"/>
                <w:rFonts w:ascii="Times New Roman" w:hAnsi="Times New Roman" w:cs="Times New Roman"/>
                <w:i w:val="0"/>
                <w:sz w:val="26"/>
                <w:szCs w:val="26"/>
              </w:rPr>
              <w:t>безопасной работы общеобразовательных организаций. На средства муниципального бюджета проведен капитальный ремон</w:t>
            </w:r>
            <w:r w:rsidR="00512ADA">
              <w:rPr>
                <w:rStyle w:val="af"/>
                <w:rFonts w:ascii="Times New Roman" w:hAnsi="Times New Roman" w:cs="Times New Roman"/>
                <w:i w:val="0"/>
                <w:sz w:val="26"/>
                <w:szCs w:val="26"/>
              </w:rPr>
              <w:t xml:space="preserve">т здания </w:t>
            </w:r>
            <w:proofErr w:type="spellStart"/>
            <w:r w:rsidR="00512ADA">
              <w:rPr>
                <w:rStyle w:val="af"/>
                <w:rFonts w:ascii="Times New Roman" w:hAnsi="Times New Roman" w:cs="Times New Roman"/>
                <w:i w:val="0"/>
                <w:sz w:val="26"/>
                <w:szCs w:val="26"/>
              </w:rPr>
              <w:t>Красноозерной</w:t>
            </w:r>
            <w:proofErr w:type="spellEnd"/>
            <w:r w:rsidR="00512ADA">
              <w:rPr>
                <w:rStyle w:val="af"/>
                <w:rFonts w:ascii="Times New Roman" w:hAnsi="Times New Roman" w:cs="Times New Roman"/>
                <w:i w:val="0"/>
                <w:sz w:val="26"/>
                <w:szCs w:val="26"/>
              </w:rPr>
              <w:t xml:space="preserve"> школы (5 </w:t>
            </w:r>
            <w:r w:rsidRPr="00D57CD6">
              <w:rPr>
                <w:rStyle w:val="af"/>
                <w:rFonts w:ascii="Times New Roman" w:hAnsi="Times New Roman" w:cs="Times New Roman"/>
                <w:i w:val="0"/>
                <w:sz w:val="26"/>
                <w:szCs w:val="26"/>
              </w:rPr>
              <w:t xml:space="preserve">346,1 тыс. руб.), отремонтирована кровля здания интерната </w:t>
            </w:r>
            <w:proofErr w:type="spellStart"/>
            <w:r w:rsidRPr="00D57CD6">
              <w:rPr>
                <w:rStyle w:val="af"/>
                <w:rFonts w:ascii="Times New Roman" w:hAnsi="Times New Roman" w:cs="Times New Roman"/>
                <w:i w:val="0"/>
                <w:sz w:val="26"/>
                <w:szCs w:val="26"/>
              </w:rPr>
              <w:t>Чарковской</w:t>
            </w:r>
            <w:proofErr w:type="spellEnd"/>
            <w:r w:rsidRPr="00D57CD6">
              <w:rPr>
                <w:rStyle w:val="af"/>
                <w:rFonts w:ascii="Times New Roman" w:hAnsi="Times New Roman" w:cs="Times New Roman"/>
                <w:i w:val="0"/>
                <w:sz w:val="26"/>
                <w:szCs w:val="26"/>
              </w:rPr>
              <w:t xml:space="preserve"> школы (778,</w:t>
            </w:r>
            <w:r w:rsidR="00512ADA">
              <w:rPr>
                <w:rStyle w:val="af"/>
                <w:rFonts w:ascii="Times New Roman" w:hAnsi="Times New Roman" w:cs="Times New Roman"/>
                <w:i w:val="0"/>
                <w:sz w:val="26"/>
                <w:szCs w:val="26"/>
              </w:rPr>
              <w:t>4</w:t>
            </w:r>
            <w:r w:rsidRPr="00D57CD6">
              <w:rPr>
                <w:rStyle w:val="af"/>
                <w:rFonts w:ascii="Times New Roman" w:hAnsi="Times New Roman" w:cs="Times New Roman"/>
                <w:i w:val="0"/>
                <w:sz w:val="26"/>
                <w:szCs w:val="26"/>
              </w:rPr>
              <w:t xml:space="preserve"> тыс. руб.), снята аварийность потолочного перекрытия в спортивном зале В-</w:t>
            </w:r>
            <w:proofErr w:type="spellStart"/>
            <w:r w:rsidRPr="00D57CD6">
              <w:rPr>
                <w:rStyle w:val="af"/>
                <w:rFonts w:ascii="Times New Roman" w:hAnsi="Times New Roman" w:cs="Times New Roman"/>
                <w:i w:val="0"/>
                <w:sz w:val="26"/>
                <w:szCs w:val="26"/>
              </w:rPr>
              <w:t>Биджинской</w:t>
            </w:r>
            <w:proofErr w:type="spellEnd"/>
            <w:r w:rsidRPr="00D57CD6">
              <w:rPr>
                <w:rStyle w:val="af"/>
                <w:rFonts w:ascii="Times New Roman" w:hAnsi="Times New Roman" w:cs="Times New Roman"/>
                <w:i w:val="0"/>
                <w:sz w:val="26"/>
                <w:szCs w:val="26"/>
              </w:rPr>
              <w:t xml:space="preserve"> школы (748,</w:t>
            </w:r>
            <w:r w:rsidR="00512ADA">
              <w:rPr>
                <w:rStyle w:val="af"/>
                <w:rFonts w:ascii="Times New Roman" w:hAnsi="Times New Roman" w:cs="Times New Roman"/>
                <w:i w:val="0"/>
                <w:sz w:val="26"/>
                <w:szCs w:val="26"/>
              </w:rPr>
              <w:t>5</w:t>
            </w:r>
            <w:r w:rsidRPr="00D57CD6">
              <w:rPr>
                <w:rStyle w:val="af"/>
                <w:rFonts w:ascii="Times New Roman" w:hAnsi="Times New Roman" w:cs="Times New Roman"/>
                <w:i w:val="0"/>
                <w:sz w:val="26"/>
                <w:szCs w:val="26"/>
              </w:rPr>
              <w:t xml:space="preserve"> тыс. руб.), завершен капитальный ремонт кровли Калининской школы (1</w:t>
            </w:r>
            <w:r w:rsidR="00512ADA">
              <w:rPr>
                <w:rStyle w:val="af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D57CD6">
              <w:rPr>
                <w:rStyle w:val="af"/>
                <w:rFonts w:ascii="Times New Roman" w:hAnsi="Times New Roman" w:cs="Times New Roman"/>
                <w:i w:val="0"/>
                <w:sz w:val="26"/>
                <w:szCs w:val="26"/>
              </w:rPr>
              <w:t>049,1 тыс. руб.).</w:t>
            </w:r>
          </w:p>
          <w:p w:rsidR="00AC018B" w:rsidRPr="00D57CD6" w:rsidRDefault="00AC018B" w:rsidP="00D66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contextualSpacing/>
              <w:jc w:val="both"/>
              <w:rPr>
                <w:rStyle w:val="af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D57CD6">
              <w:rPr>
                <w:rStyle w:val="af"/>
                <w:rFonts w:ascii="Times New Roman" w:hAnsi="Times New Roman" w:cs="Times New Roman"/>
                <w:i w:val="0"/>
                <w:sz w:val="26"/>
                <w:szCs w:val="26"/>
              </w:rPr>
              <w:t xml:space="preserve">На средства консолидированного бюджета выполнен капитальный ремонт спортивного зала </w:t>
            </w:r>
            <w:proofErr w:type="spellStart"/>
            <w:r w:rsidRPr="00D57CD6">
              <w:rPr>
                <w:rStyle w:val="af"/>
                <w:rFonts w:ascii="Times New Roman" w:hAnsi="Times New Roman" w:cs="Times New Roman"/>
                <w:i w:val="0"/>
                <w:sz w:val="26"/>
                <w:szCs w:val="26"/>
              </w:rPr>
              <w:t>Сапоговской</w:t>
            </w:r>
            <w:proofErr w:type="spellEnd"/>
            <w:r w:rsidRPr="00D57CD6">
              <w:rPr>
                <w:rStyle w:val="af"/>
                <w:rFonts w:ascii="Times New Roman" w:hAnsi="Times New Roman" w:cs="Times New Roman"/>
                <w:i w:val="0"/>
                <w:sz w:val="26"/>
                <w:szCs w:val="26"/>
              </w:rPr>
              <w:t xml:space="preserve"> школы (всего </w:t>
            </w:r>
            <w:r w:rsidR="00512ADA" w:rsidRPr="00D57CD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57CD6">
              <w:rPr>
                <w:rStyle w:val="af"/>
                <w:rFonts w:ascii="Times New Roman" w:hAnsi="Times New Roman" w:cs="Times New Roman"/>
                <w:i w:val="0"/>
                <w:sz w:val="26"/>
                <w:szCs w:val="26"/>
              </w:rPr>
              <w:t xml:space="preserve"> 2</w:t>
            </w:r>
            <w:r w:rsidR="00512ADA">
              <w:rPr>
                <w:rStyle w:val="af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D57CD6">
              <w:rPr>
                <w:rStyle w:val="af"/>
                <w:rFonts w:ascii="Times New Roman" w:hAnsi="Times New Roman" w:cs="Times New Roman"/>
                <w:i w:val="0"/>
                <w:sz w:val="26"/>
                <w:szCs w:val="26"/>
              </w:rPr>
              <w:t xml:space="preserve">545,0 тыс. руб., в том числе </w:t>
            </w:r>
            <w:r w:rsidR="00512ADA">
              <w:rPr>
                <w:rStyle w:val="af"/>
                <w:rFonts w:ascii="Times New Roman" w:hAnsi="Times New Roman" w:cs="Times New Roman"/>
                <w:i w:val="0"/>
                <w:sz w:val="26"/>
                <w:szCs w:val="26"/>
              </w:rPr>
              <w:br/>
            </w:r>
            <w:r w:rsidRPr="00D57CD6">
              <w:rPr>
                <w:rStyle w:val="af"/>
                <w:rFonts w:ascii="Times New Roman" w:hAnsi="Times New Roman" w:cs="Times New Roman"/>
                <w:i w:val="0"/>
                <w:sz w:val="26"/>
                <w:szCs w:val="26"/>
              </w:rPr>
              <w:t>ФБ – 1</w:t>
            </w:r>
            <w:r w:rsidR="00512ADA">
              <w:rPr>
                <w:rStyle w:val="af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D57CD6">
              <w:rPr>
                <w:rStyle w:val="af"/>
                <w:rFonts w:ascii="Times New Roman" w:hAnsi="Times New Roman" w:cs="Times New Roman"/>
                <w:i w:val="0"/>
                <w:sz w:val="26"/>
                <w:szCs w:val="26"/>
              </w:rPr>
              <w:t>719,0 тыс. руб., РБ – 286,0 тыс. руб., МБ – 540,0 тыс. руб.).</w:t>
            </w:r>
          </w:p>
          <w:p w:rsidR="008A0322" w:rsidRPr="00D57CD6" w:rsidRDefault="00116478" w:rsidP="00D6648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</w:t>
            </w:r>
            <w:r w:rsidR="009E37EE" w:rsidRPr="00D57CD6">
              <w:rPr>
                <w:rFonts w:ascii="Times New Roman" w:hAnsi="Times New Roman" w:cs="Times New Roman"/>
                <w:sz w:val="26"/>
                <w:szCs w:val="26"/>
              </w:rPr>
              <w:t>социальной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инфраструктуры в Усть-Абаканском районе</w:t>
            </w:r>
            <w:r w:rsidR="008A0322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7D8F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также </w:t>
            </w:r>
            <w:r w:rsidR="008A0322" w:rsidRPr="00D57CD6">
              <w:rPr>
                <w:rFonts w:ascii="Times New Roman" w:hAnsi="Times New Roman" w:cs="Times New Roman"/>
                <w:sz w:val="26"/>
                <w:szCs w:val="26"/>
              </w:rPr>
              <w:t>направленн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A0322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на эффективную организацию физкультурно-спортивной и досуговой работы с населением, пропаганд</w:t>
            </w:r>
            <w:r w:rsidR="00B805FB" w:rsidRPr="00D57CD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A0322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здорового образа жизни, работ</w:t>
            </w:r>
            <w:r w:rsidR="00B805FB" w:rsidRPr="00D57CD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A0322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по организации досуга молодежи, расширению секций, кружков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, различных видов</w:t>
            </w:r>
            <w:r w:rsidR="008A0322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спорта и обеспечение их доступности для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населения.</w:t>
            </w:r>
            <w:r w:rsidR="008A0322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102D1" w:rsidRPr="00D57CD6" w:rsidRDefault="00F102D1" w:rsidP="00D6648A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В районе культивируются 25 видов спорта, систематически физической культурой и спортом занимаются более 13 тыс. человек, в спортивных мероприятиях участвуют более 5 тыс. человек.</w:t>
            </w:r>
          </w:p>
          <w:p w:rsidR="00F102D1" w:rsidRPr="00D57CD6" w:rsidRDefault="00F102D1" w:rsidP="00D6648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29 штатных тренеров работают с детьми и подростками, 6</w:t>
            </w:r>
            <w:r w:rsidRPr="00D57CD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инструкторов по спорту </w:t>
            </w:r>
            <w:r w:rsidR="00512ADA" w:rsidRPr="00D57CD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с жителями района по организации и проведению спортивно–массовых и </w:t>
            </w:r>
            <w:proofErr w:type="spell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физкультурно</w:t>
            </w:r>
            <w:proofErr w:type="spellEnd"/>
            <w:r w:rsidR="00512ADA" w:rsidRPr="00D57CD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оздоровительных мероприятий. Организована работа с детьми дошкольного возраста в детских садах по хоккею с мячом, шахматам, баскетболу, волейболу, боксу, рукопашному бою. </w:t>
            </w:r>
          </w:p>
          <w:p w:rsidR="00F102D1" w:rsidRPr="00D57CD6" w:rsidRDefault="00F102D1" w:rsidP="00D6648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В 2016 году на территории района проведено 168 мероприятий (в 2015 г. – 162), из них среди детей – 92 (в 2015г. </w:t>
            </w:r>
            <w:r w:rsidR="00512ADA" w:rsidRPr="00D57CD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88). Наиболее массовые из них: Кросс Нации, участвует свыше 1500 человек, Лыжня России, Спартакиады района среди взрослого населения и молодежи допризывного возраста, спортивные праздники: День России, День молодежи, День физкультурника, районные соревнования по различным видам спорта, турниры с приглашением команд и участников из других регионов РФ (по хоккею с мячом, вольной и греко-римской борьбе, боксу, конному спорту). В период летних каникул проведены мероприятия, направленные на профилактику правонарушений среди подростков, функционировала 21 дворовая спортивная площадка, где работали молодые специалисты – инструкторы по спорту.</w:t>
            </w:r>
          </w:p>
          <w:p w:rsidR="002D1A9A" w:rsidRPr="00D57CD6" w:rsidRDefault="002D1A9A" w:rsidP="00D6648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В рамках муниципальной программы «Развитие физической культуры и спорта в Усть-Абаканском районе» в 2016 году проведены работы по строительству, капитальному ремонту, реконструкции спортивных объектов:</w:t>
            </w:r>
          </w:p>
          <w:p w:rsidR="002D1A9A" w:rsidRPr="00D57CD6" w:rsidRDefault="002D1A9A" w:rsidP="00D6648A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- капитальный ремонт спортивного зала МБОУ «</w:t>
            </w:r>
            <w:proofErr w:type="spell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Вершино-Биджинская</w:t>
            </w:r>
            <w:proofErr w:type="spell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СОШ»;</w:t>
            </w:r>
          </w:p>
          <w:p w:rsidR="002D1A9A" w:rsidRPr="00D57CD6" w:rsidRDefault="002D1A9A" w:rsidP="00D6648A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- капитальный ремонт спортивного зала МБОУ «</w:t>
            </w:r>
            <w:proofErr w:type="spell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Сапоговская</w:t>
            </w:r>
            <w:proofErr w:type="spell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СОШ»;</w:t>
            </w:r>
          </w:p>
          <w:p w:rsidR="002D1A9A" w:rsidRPr="00D57CD6" w:rsidRDefault="002D1A9A" w:rsidP="00D6648A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- реконструкция хоккейной площадки </w:t>
            </w:r>
            <w:proofErr w:type="spell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расноозерное</w:t>
            </w:r>
            <w:proofErr w:type="spell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D1A9A" w:rsidRPr="00D57CD6" w:rsidRDefault="002D1A9A" w:rsidP="00D6648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- в 14 поселениях района в зимнее время залиты ледовые катки.</w:t>
            </w:r>
          </w:p>
          <w:p w:rsidR="002D1A9A" w:rsidRPr="00D57CD6" w:rsidRDefault="002D1A9A" w:rsidP="00D6648A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В результате развития спортивной базы и проведения спортивно-массовых мероприятий в районе ежегодно растёт интерес населения к здоровому образу жизни. Доля населения, систематически занимающегося спортом, за последние три года увеличилась в 1,5 раза. Количество детей, занимающихся в спортивных секциях МБУ ДО «Усть</w:t>
            </w:r>
            <w:r w:rsidR="00512A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Абаканская спортивная школа», МБУ ДО </w:t>
            </w:r>
            <w:r w:rsidR="00512AD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«Усть-Абаканский центр дополнительного образования», школьных и спортивных клубов в поселениях составляет 84,7</w:t>
            </w:r>
            <w:r w:rsidR="00512AD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% от общей численности детей и молодежи в возрасте до 17 лет.</w:t>
            </w:r>
          </w:p>
          <w:p w:rsidR="004F2248" w:rsidRPr="00D57CD6" w:rsidRDefault="008A0322" w:rsidP="00D6648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Культурно-досуговую деятельность</w:t>
            </w:r>
            <w:r w:rsidR="004F2248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512ADA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осуществляют </w:t>
            </w:r>
            <w:r w:rsidR="004F2248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30 культурно-досуговых учреждений, из них 2 Дома культуры районного уровня, </w:t>
            </w:r>
            <w:r w:rsidR="00512AD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F2248" w:rsidRPr="00D57CD6">
              <w:rPr>
                <w:rFonts w:ascii="Times New Roman" w:hAnsi="Times New Roman" w:cs="Times New Roman"/>
                <w:sz w:val="26"/>
                <w:szCs w:val="26"/>
              </w:rPr>
              <w:t>1 централизованная библиотечная система (25 филиалов-библиотек), 1 детская школа искусств, 2 музея. В отчётном году культурно-досуговыми учреждениями района проведено более 4</w:t>
            </w:r>
            <w:r w:rsidR="00512A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2248" w:rsidRPr="00D57CD6">
              <w:rPr>
                <w:rFonts w:ascii="Times New Roman" w:hAnsi="Times New Roman" w:cs="Times New Roman"/>
                <w:sz w:val="26"/>
                <w:szCs w:val="26"/>
              </w:rPr>
              <w:t>тысяч мероприятий с числом участников более 212</w:t>
            </w:r>
            <w:r w:rsidR="00512A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2248" w:rsidRPr="00D57CD6">
              <w:rPr>
                <w:rFonts w:ascii="Times New Roman" w:hAnsi="Times New Roman" w:cs="Times New Roman"/>
                <w:sz w:val="26"/>
                <w:szCs w:val="26"/>
              </w:rPr>
              <w:t>000 человек.</w:t>
            </w:r>
            <w:r w:rsidR="004F2248" w:rsidRPr="00D57CD6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</w:t>
            </w:r>
            <w:r w:rsidR="004F2248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В 2016 году финансирование отрасли осуществлялось по программе «Культура Усть-Абаканского района на 2014–2020гг.». За отчётный период по программе было освоено 30,5 </w:t>
            </w:r>
            <w:proofErr w:type="gramStart"/>
            <w:r w:rsidR="004F2248" w:rsidRPr="00D57CD6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="00BC1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2248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руб. </w:t>
            </w:r>
          </w:p>
          <w:p w:rsidR="004F2248" w:rsidRPr="00D57CD6" w:rsidRDefault="004F2248" w:rsidP="00D6648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На укрепление материально-технической базы было выделено 2,4 </w:t>
            </w: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="00BC1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руб., приобретены сценические костюмы и обувь, звуковое и световое оборудование, компьютерная техника, мебель. Проведены мероприятия по противопожарной безопасности, осуществлено благоустройство </w:t>
            </w:r>
            <w:proofErr w:type="spell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приклубной</w:t>
            </w:r>
            <w:proofErr w:type="spell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территории, текущий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ремонт в 13 учреждениях (43,3</w:t>
            </w:r>
            <w:r w:rsidR="00BC1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%) на сумму 1,2</w:t>
            </w:r>
            <w:r w:rsidR="00561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="00BC1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4F2248" w:rsidRPr="00D57CD6" w:rsidRDefault="004F2248" w:rsidP="00D6648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В 2016 году финансирование отрасли осуществлялось по программе «Культура Усть-Абаканского района на 2014–2020гг.». За отчётный период по программе было освоено 30,5 </w:t>
            </w: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="00BC1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руб. </w:t>
            </w:r>
          </w:p>
          <w:p w:rsidR="004F2248" w:rsidRPr="00D57CD6" w:rsidRDefault="004F2248" w:rsidP="00D6648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На укрепление материально-технической базы было выделено 2,4 </w:t>
            </w: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="00BC1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руб., приобретены сценические костюмы и обувь, звуковое и световое оборудование, компьютерная техника, мебель. Проведены мероприятия по противопожарной безопасности, осуществлено благоустройство </w:t>
            </w:r>
            <w:proofErr w:type="spell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приклубной</w:t>
            </w:r>
            <w:proofErr w:type="spell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территории, текущий ремонт в 13 учреждениях (43,3</w:t>
            </w:r>
            <w:r w:rsidR="00BC1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%) на сумму 1,2</w:t>
            </w: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="00BC1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4F2248" w:rsidRPr="00D57CD6" w:rsidRDefault="004F2248" w:rsidP="00D6648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C407B" w:rsidRPr="00D57CD6" w:rsidRDefault="004916AE" w:rsidP="00D6648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57C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4.2.2. Создает благоприятные условия для развития промышленного, сельскохозяйственного производства на основе его интенсификации, внедрения современных технологий, недопущения фактов неэффективного и нецелевого использования земель, отнесенных к муниципальной собственности муниципального образования в соответствии с федеральными законами</w:t>
            </w:r>
          </w:p>
          <w:p w:rsidR="004F2248" w:rsidRPr="00D57CD6" w:rsidRDefault="004F2248" w:rsidP="00D6648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Современная структура экономики Усть-Абаканского района относится к промышленно–аграрному типу. Видами экономической деятельности, определяющими промышленное производство, являются: добыча полезных ископаемых, обрабатывающие производства и </w:t>
            </w: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производство</w:t>
            </w:r>
            <w:proofErr w:type="gram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и распределение электроэнергии, газа и воды. Объем промышленного производства в 2016 году составил 1339,6 </w:t>
            </w: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рублей, или 119,1 % к уровню прошлого года. </w:t>
            </w:r>
            <w:r w:rsidRPr="00D57C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расчете на душу населения в 2016 году приходится 32</w:t>
            </w:r>
            <w:r w:rsidR="00BC1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046 рублей товаров собственного производства, и по отношению к прошлому году этот показатель увеличился на 17,9</w:t>
            </w:r>
            <w:r w:rsidR="00BC1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%.</w:t>
            </w:r>
          </w:p>
          <w:p w:rsidR="004F2248" w:rsidRPr="00D57CD6" w:rsidRDefault="004F2248" w:rsidP="00D6648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Основным видом в добывающей отрасли является добыча строительных нерудных материалов, к ним относятся: щебень, песчано-гравийная смесь, гравий, строительный песок. Ведущими предприятиями данной отрасли являются </w:t>
            </w:r>
            <w:r w:rsidR="00BC130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ООО «Хакасская стройиндустрия», ООО «</w:t>
            </w:r>
            <w:proofErr w:type="spell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Стройсервис</w:t>
            </w:r>
            <w:proofErr w:type="spell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и ООО</w:t>
            </w:r>
            <w:proofErr w:type="gram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«Катрина». Добычу угля на территории района ведет группа угледобывающих предприятий </w:t>
            </w:r>
            <w:proofErr w:type="spell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ерногорска</w:t>
            </w:r>
            <w:proofErr w:type="spell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130B" w:rsidRPr="00D57CD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ООО «СУЭК-Хакасия», ООО УК «Разрез Степной».</w:t>
            </w:r>
            <w:r w:rsidRPr="00D57C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Добывающими организациями за 2016</w:t>
            </w:r>
            <w:r w:rsidR="00BC1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BC1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</w:t>
            </w:r>
            <w:r w:rsidRPr="00D57C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отгружено товаров собственного производства, выполнено работ и услуг в действующих ценах на 18,3</w:t>
            </w:r>
            <w:r w:rsidR="00BC1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% больше уровня 2015 года. </w:t>
            </w:r>
          </w:p>
          <w:p w:rsidR="004F2248" w:rsidRPr="00D57CD6" w:rsidRDefault="004F2248" w:rsidP="00D6648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36,7</w:t>
            </w:r>
            <w:r w:rsidR="00BC1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% в структуре промышленного производства занимают обрабатывающие производства. Отгружено товаров собственного производства, выполнено работ и услуг в 2016 году </w:t>
            </w:r>
            <w:r w:rsidR="000B1831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на сумму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492,2 </w:t>
            </w: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, что на 24,3</w:t>
            </w:r>
            <w:r w:rsidR="00BC1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% больше аналогичного периода прошлого года. </w:t>
            </w:r>
            <w:r w:rsidR="000B1831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Значительную долю обрабатывающих производств составляют производство пищевых продуктов и производство прочих неметаллических минеральных продуктов. </w:t>
            </w:r>
            <w:proofErr w:type="gramStart"/>
            <w:r w:rsidR="000B1831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Крупными и средними промышленными предприятиями района произведено по отношению к 2015 году напитков безалкогольных в 2,8 раза больше, пива, воды минеральной – </w:t>
            </w:r>
            <w:r w:rsidR="000B1831" w:rsidRPr="00D57C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140</w:t>
            </w:r>
            <w:r w:rsidR="00BC1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1831" w:rsidRPr="00D57CD6">
              <w:rPr>
                <w:rFonts w:ascii="Times New Roman" w:hAnsi="Times New Roman" w:cs="Times New Roman"/>
                <w:sz w:val="26"/>
                <w:szCs w:val="26"/>
              </w:rPr>
              <w:t>%, материалов строительных нерудных – 117</w:t>
            </w:r>
            <w:r w:rsidR="00BC1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1831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%.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Основными предприятиями данной отрасли являются ООО СПК «Сибирь», ООО «Вкус», ООО «Альпина», ООО «Консервный завод» </w:t>
            </w:r>
            <w:r w:rsidR="00BC130B" w:rsidRPr="00D57CD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производство пищевых продуктов, СА учреждение РХ «</w:t>
            </w:r>
            <w:proofErr w:type="spell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Устьбюрьлессервис</w:t>
            </w:r>
            <w:proofErr w:type="spell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BC130B" w:rsidRPr="00D57CD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переработка древесины, ООО «Сибирская стекольная компания», ООО «</w:t>
            </w:r>
            <w:proofErr w:type="spell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Втормет</w:t>
            </w:r>
            <w:proofErr w:type="spell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», ООО «Технические системы», ООО</w:t>
            </w:r>
            <w:proofErr w:type="gram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Стальмонтаж</w:t>
            </w:r>
            <w:proofErr w:type="spell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BC130B" w:rsidRPr="00D57CD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производство прочих неметаллических минеральных продуктов. На долю малых предприятий и организаций, занимающихся обрабатывающими производствами, приходится более 70</w:t>
            </w:r>
            <w:r w:rsidR="00BC1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% в общем объеме производства данного сектора. </w:t>
            </w:r>
          </w:p>
          <w:p w:rsidR="007A4A9F" w:rsidRPr="00D57CD6" w:rsidRDefault="00E20C47" w:rsidP="00D6648A">
            <w:pPr>
              <w:spacing w:after="0"/>
              <w:ind w:firstLine="709"/>
              <w:contextualSpacing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Сельское хозяйство является ведущей отраслью экономики </w:t>
            </w:r>
            <w:r w:rsidR="00BC130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Усть-Абаканского района. </w:t>
            </w:r>
            <w:r w:rsidR="005F42F6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виды деятельности: выращивание зерновых и зернобобовых, кормовых культур, картофеля и овощей, производство молока, мяса птицы, говядины и свинины, а также разведение лошадей и овец. </w:t>
            </w:r>
            <w:r w:rsidR="00BC130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F42F6" w:rsidRPr="00D57CD6"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На 1 января 2017 года </w:t>
            </w:r>
            <w:r w:rsidR="005F42F6" w:rsidRPr="00D57CD6">
              <w:rPr>
                <w:rFonts w:ascii="Times New Roman" w:hAnsi="Times New Roman" w:cs="Times New Roman"/>
                <w:sz w:val="26"/>
                <w:szCs w:val="26"/>
              </w:rPr>
              <w:t>сельскохозяйственным производством в Усть-Абаканском районе занимаются 9 сельскохозяйственных предприятий всех форм собственности, в которых работают 148 человек, 152 крестьянских фермерских хозяйства, 6</w:t>
            </w:r>
            <w:r w:rsidR="00BC1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42F6" w:rsidRPr="00D57CD6">
              <w:rPr>
                <w:rFonts w:ascii="Times New Roman" w:hAnsi="Times New Roman" w:cs="Times New Roman"/>
                <w:sz w:val="26"/>
                <w:szCs w:val="26"/>
              </w:rPr>
              <w:t>951 личн</w:t>
            </w:r>
            <w:r w:rsidR="00BC130B">
              <w:rPr>
                <w:rFonts w:ascii="Times New Roman" w:hAnsi="Times New Roman" w:cs="Times New Roman"/>
                <w:sz w:val="26"/>
                <w:szCs w:val="26"/>
              </w:rPr>
              <w:t xml:space="preserve">ое </w:t>
            </w:r>
            <w:r w:rsidR="005F42F6" w:rsidRPr="00D57CD6">
              <w:rPr>
                <w:rFonts w:ascii="Times New Roman" w:hAnsi="Times New Roman" w:cs="Times New Roman"/>
                <w:sz w:val="26"/>
                <w:szCs w:val="26"/>
              </w:rPr>
              <w:t>подсобн</w:t>
            </w:r>
            <w:r w:rsidR="00BC130B">
              <w:rPr>
                <w:rFonts w:ascii="Times New Roman" w:hAnsi="Times New Roman" w:cs="Times New Roman"/>
                <w:sz w:val="26"/>
                <w:szCs w:val="26"/>
              </w:rPr>
              <w:t xml:space="preserve">ое </w:t>
            </w:r>
            <w:r w:rsidR="005F42F6" w:rsidRPr="00D57CD6">
              <w:rPr>
                <w:rFonts w:ascii="Times New Roman" w:hAnsi="Times New Roman" w:cs="Times New Roman"/>
                <w:sz w:val="26"/>
                <w:szCs w:val="26"/>
              </w:rPr>
              <w:t>хозяйств</w:t>
            </w:r>
            <w:r w:rsidR="00BC130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F42F6" w:rsidRPr="00D57C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7A4A9F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Крупными товаропроизводителями в агропромышленном комплексе района являются ООО «Усть-Абаканская птицефабрика» (п. Расцвет), занятое производством яиц и диетического мяса, ООО «Саянский бекон» (а. Сапогов), КФХ Сараева И.П. (а. Райков) – свиноводство, ФГУП «Черногорское» (с. Солнечное) – молочное и мясное скотоводство, КФХ Магомедов (с. Калинино) </w:t>
            </w:r>
            <w:r w:rsidR="00BC130B" w:rsidRPr="00D57CD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A4A9F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овощеводство.</w:t>
            </w:r>
            <w:r w:rsidR="007A4A9F" w:rsidRPr="00D57CD6"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  <w:p w:rsidR="007A4A9F" w:rsidRPr="00D57CD6" w:rsidRDefault="007A4A9F" w:rsidP="00D6648A">
            <w:pPr>
              <w:spacing w:after="0"/>
              <w:ind w:firstLine="709"/>
              <w:contextualSpacing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eastAsia="Times New Roman CYR" w:hAnsi="Times New Roman" w:cs="Times New Roman"/>
                <w:sz w:val="26"/>
                <w:szCs w:val="26"/>
              </w:rPr>
              <w:t>Поголовье сельскохозяйственных животных и птицы в хозяйствах всех категорий составило:</w:t>
            </w:r>
          </w:p>
          <w:p w:rsidR="007A4A9F" w:rsidRPr="00D57CD6" w:rsidRDefault="007A4A9F" w:rsidP="00D6648A">
            <w:pPr>
              <w:spacing w:after="0"/>
              <w:ind w:firstLine="709"/>
              <w:contextualSpacing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eastAsia="Times New Roman CYR" w:hAnsi="Times New Roman" w:cs="Times New Roman"/>
                <w:sz w:val="26"/>
                <w:szCs w:val="26"/>
              </w:rPr>
              <w:t>- крупного рогатого скота 27</w:t>
            </w:r>
            <w:r w:rsidR="00BC130B"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eastAsia="Times New Roman CYR" w:hAnsi="Times New Roman" w:cs="Times New Roman"/>
                <w:sz w:val="26"/>
                <w:szCs w:val="26"/>
              </w:rPr>
              <w:t>711 голов, рост составил 102,3</w:t>
            </w:r>
            <w:r w:rsidR="00BC130B"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eastAsia="Times New Roman CYR" w:hAnsi="Times New Roman" w:cs="Times New Roman"/>
                <w:sz w:val="26"/>
                <w:szCs w:val="26"/>
              </w:rPr>
              <w:t>%, при этом 50,9</w:t>
            </w:r>
            <w:r w:rsidR="00BC130B"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eastAsia="Times New Roman CYR" w:hAnsi="Times New Roman" w:cs="Times New Roman"/>
                <w:sz w:val="26"/>
                <w:szCs w:val="26"/>
              </w:rPr>
              <w:t>% поголовья приходится на фермерские хозяйства, в сельхозпредприятиях – 8,2</w:t>
            </w:r>
            <w:r w:rsidR="00BC130B"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eastAsia="Times New Roman CYR" w:hAnsi="Times New Roman" w:cs="Times New Roman"/>
                <w:sz w:val="26"/>
                <w:szCs w:val="26"/>
              </w:rPr>
              <w:t>%;</w:t>
            </w:r>
          </w:p>
          <w:p w:rsidR="007A4A9F" w:rsidRPr="00D57CD6" w:rsidRDefault="007A4A9F" w:rsidP="00D6648A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- поголовье овец по району составило 55</w:t>
            </w:r>
            <w:r w:rsidR="00BC1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606 голов, или 100,2</w:t>
            </w:r>
            <w:r w:rsidR="00BC1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% к аналогичному периоду прошлого года, в том числе в КФХ – 71,2</w:t>
            </w:r>
            <w:r w:rsidR="00BC1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%, у населения 14,8</w:t>
            </w:r>
            <w:r w:rsidR="00BC1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%, в сельхозпредприятиях 14,0</w:t>
            </w:r>
            <w:r w:rsidR="00BC1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%; </w:t>
            </w:r>
          </w:p>
          <w:p w:rsidR="007A4A9F" w:rsidRPr="00D57CD6" w:rsidRDefault="007A4A9F" w:rsidP="00D6648A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- поголовье лошадей 5</w:t>
            </w:r>
            <w:r w:rsidR="00CB41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145 голов, или 100,1</w:t>
            </w:r>
            <w:r w:rsidR="00CB41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% к уровню прошлого года</w:t>
            </w:r>
            <w:r w:rsidR="00CB41E5">
              <w:rPr>
                <w:rFonts w:ascii="Times New Roman" w:hAnsi="Times New Roman" w:cs="Times New Roman"/>
                <w:sz w:val="26"/>
                <w:szCs w:val="26"/>
              </w:rPr>
              <w:t>, и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з них в сельхозпредприятиях – 6,5%, КФХ – 57,4 %, у населения – 36,1%;</w:t>
            </w:r>
          </w:p>
          <w:p w:rsidR="007A4A9F" w:rsidRPr="00D57CD6" w:rsidRDefault="007A4A9F" w:rsidP="00D6648A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- поголовье свиней 6</w:t>
            </w:r>
            <w:r w:rsidR="00CB41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346 голов, или 87,6</w:t>
            </w:r>
            <w:r w:rsidR="00CB41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% к уровню прошлого года</w:t>
            </w:r>
            <w:r w:rsidR="00CB41E5">
              <w:rPr>
                <w:rFonts w:ascii="Times New Roman" w:hAnsi="Times New Roman" w:cs="Times New Roman"/>
                <w:sz w:val="26"/>
                <w:szCs w:val="26"/>
              </w:rPr>
              <w:t xml:space="preserve">, из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них в сельхозпредприятиях – 32,2</w:t>
            </w:r>
            <w:r w:rsidR="00CB41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%, КФХ – 28,4 %, у населения – 39,4</w:t>
            </w:r>
            <w:r w:rsidR="00CB41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  <w:p w:rsidR="005F42F6" w:rsidRPr="00D57CD6" w:rsidRDefault="00E20C47" w:rsidP="00D6648A">
            <w:pPr>
              <w:spacing w:after="0"/>
              <w:ind w:firstLine="709"/>
              <w:contextualSpacing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Несмотря на то, что район находится в зоне рискованного земледелия, </w:t>
            </w:r>
            <w:r w:rsidR="00CB41E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158,4 тыс</w:t>
            </w: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а сельхозугодий используется землепользователями, занимающимися сельхозпроизводством, хозяйствами всех форм собственности засевается </w:t>
            </w:r>
            <w:r w:rsidR="005F42F6" w:rsidRPr="00D57CD6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="00CB41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42F6" w:rsidRPr="00D57CD6"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гектар посевных площадей</w:t>
            </w:r>
            <w:r w:rsidR="005F42F6" w:rsidRPr="00D57CD6">
              <w:rPr>
                <w:rFonts w:ascii="Times New Roman" w:hAnsi="Times New Roman" w:cs="Times New Roman"/>
                <w:sz w:val="26"/>
                <w:szCs w:val="26"/>
              </w:rPr>
              <w:t>, что на 4</w:t>
            </w:r>
            <w:r w:rsidR="00CB41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42F6" w:rsidRPr="00D57CD6">
              <w:rPr>
                <w:rFonts w:ascii="Times New Roman" w:hAnsi="Times New Roman" w:cs="Times New Roman"/>
                <w:sz w:val="26"/>
                <w:szCs w:val="26"/>
              </w:rPr>
              <w:t>% больше, чем в 2015 году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F42F6" w:rsidRPr="00D57CD6">
              <w:rPr>
                <w:rFonts w:ascii="Times New Roman" w:hAnsi="Times New Roman" w:cs="Times New Roman"/>
                <w:sz w:val="26"/>
                <w:szCs w:val="26"/>
              </w:rPr>
              <w:t>Ежегодно увеличиваются площади под многолетние травы на сено, в 2016 г</w:t>
            </w:r>
            <w:r w:rsidR="00CB41E5">
              <w:rPr>
                <w:rFonts w:ascii="Times New Roman" w:hAnsi="Times New Roman" w:cs="Times New Roman"/>
                <w:sz w:val="26"/>
                <w:szCs w:val="26"/>
              </w:rPr>
              <w:t>оду</w:t>
            </w:r>
            <w:r w:rsidR="005F42F6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они составили 36 972 га. (110,2 % к 2015 г.)</w:t>
            </w:r>
            <w:r w:rsidR="007A4A9F" w:rsidRPr="00D57C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F42F6" w:rsidRPr="00D57CD6"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 Увеличились на 32,5</w:t>
            </w:r>
            <w:r w:rsidR="00CB41E5"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 </w:t>
            </w:r>
            <w:r w:rsidR="005F42F6" w:rsidRPr="00D57CD6">
              <w:rPr>
                <w:rFonts w:ascii="Times New Roman" w:eastAsia="Times New Roman CYR" w:hAnsi="Times New Roman" w:cs="Times New Roman"/>
                <w:sz w:val="26"/>
                <w:szCs w:val="26"/>
              </w:rPr>
              <w:t>% площади под размещение овощей (420 га). Валовой сбор зерна в весе после доработки в хозяйствах всех категорий составил 2</w:t>
            </w:r>
            <w:r w:rsidR="00CB41E5"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 </w:t>
            </w:r>
            <w:r w:rsidR="005F42F6" w:rsidRPr="00D57CD6">
              <w:rPr>
                <w:rFonts w:ascii="Times New Roman" w:eastAsia="Times New Roman CYR" w:hAnsi="Times New Roman" w:cs="Times New Roman"/>
                <w:sz w:val="26"/>
                <w:szCs w:val="26"/>
              </w:rPr>
              <w:t>552 тонны, или 131,4</w:t>
            </w:r>
            <w:r w:rsidR="00CB41E5"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 </w:t>
            </w:r>
            <w:r w:rsidR="005F42F6" w:rsidRPr="00D57CD6">
              <w:rPr>
                <w:rFonts w:ascii="Times New Roman" w:eastAsia="Times New Roman CYR" w:hAnsi="Times New Roman" w:cs="Times New Roman"/>
                <w:sz w:val="26"/>
                <w:szCs w:val="26"/>
              </w:rPr>
              <w:t>% к 2015 году. Овощей собрано 9</w:t>
            </w:r>
            <w:r w:rsidR="00CB41E5"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 </w:t>
            </w:r>
            <w:r w:rsidR="005F42F6" w:rsidRPr="00D57CD6">
              <w:rPr>
                <w:rFonts w:ascii="Times New Roman" w:eastAsia="Times New Roman CYR" w:hAnsi="Times New Roman" w:cs="Times New Roman"/>
                <w:sz w:val="26"/>
                <w:szCs w:val="26"/>
              </w:rPr>
              <w:t>672 тонны, или 141,6</w:t>
            </w:r>
            <w:r w:rsidR="00CB41E5"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 </w:t>
            </w:r>
            <w:r w:rsidR="005F42F6" w:rsidRPr="00D57CD6">
              <w:rPr>
                <w:rFonts w:ascii="Times New Roman" w:eastAsia="Times New Roman CYR" w:hAnsi="Times New Roman" w:cs="Times New Roman"/>
                <w:sz w:val="26"/>
                <w:szCs w:val="26"/>
              </w:rPr>
              <w:t>% к уровню прошлого года.</w:t>
            </w:r>
          </w:p>
          <w:p w:rsidR="007A4A9F" w:rsidRPr="00D57CD6" w:rsidRDefault="007A4A9F" w:rsidP="00D6648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2016 г</w:t>
            </w:r>
            <w:r w:rsidR="0020301D">
              <w:rPr>
                <w:rFonts w:ascii="Times New Roman" w:hAnsi="Times New Roman" w:cs="Times New Roman"/>
                <w:sz w:val="26"/>
                <w:szCs w:val="26"/>
              </w:rPr>
              <w:t xml:space="preserve">оду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начинающими и семейными крестьянско-фермерскими хозяйствами района получено грантов из республиканского бюджета в сумме 37,9 </w:t>
            </w: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="002030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руб., в том числе: </w:t>
            </w:r>
          </w:p>
          <w:p w:rsidR="007A4A9F" w:rsidRPr="00D57CD6" w:rsidRDefault="007A4A9F" w:rsidP="00D6648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- на приобретение сельскохозяйственной техники, скота, строительство и комплектование оборудованием животново</w:t>
            </w:r>
            <w:r w:rsidR="0020301D">
              <w:rPr>
                <w:rFonts w:ascii="Times New Roman" w:hAnsi="Times New Roman" w:cs="Times New Roman"/>
                <w:sz w:val="26"/>
                <w:szCs w:val="26"/>
              </w:rPr>
              <w:t xml:space="preserve">дческих ферм (КФХ </w:t>
            </w:r>
            <w:proofErr w:type="spellStart"/>
            <w:r w:rsidR="0020301D">
              <w:rPr>
                <w:rFonts w:ascii="Times New Roman" w:hAnsi="Times New Roman" w:cs="Times New Roman"/>
                <w:sz w:val="26"/>
                <w:szCs w:val="26"/>
              </w:rPr>
              <w:t>Гамидов</w:t>
            </w:r>
            <w:proofErr w:type="spellEnd"/>
            <w:r w:rsidR="0020301D">
              <w:rPr>
                <w:rFonts w:ascii="Times New Roman" w:hAnsi="Times New Roman" w:cs="Times New Roman"/>
                <w:sz w:val="26"/>
                <w:szCs w:val="26"/>
              </w:rPr>
              <w:t xml:space="preserve"> Ш.А.);</w:t>
            </w:r>
          </w:p>
          <w:p w:rsidR="007A4A9F" w:rsidRPr="00D57CD6" w:rsidRDefault="007A4A9F" w:rsidP="00D6648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- строительство инкубатора для гусят (КФХ </w:t>
            </w:r>
            <w:proofErr w:type="spell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Шулбаев</w:t>
            </w:r>
            <w:proofErr w:type="spell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В.С.)</w:t>
            </w:r>
            <w:r w:rsidR="002030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95FF0" w:rsidRPr="00D57CD6" w:rsidRDefault="00A95FF0" w:rsidP="00D6648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Хорошей традицией в районе стало проведение ярмарок выходного дня. В 201</w:t>
            </w:r>
            <w:r w:rsidR="003953DD" w:rsidRPr="00D57CD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году проведено </w:t>
            </w:r>
            <w:r w:rsidR="003953DD" w:rsidRPr="00D57C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ярмарок-продаж и 2 ярмарки по реализации сельскохозяйственной продукции, на которых было реализовано товаров на сумму более </w:t>
            </w:r>
            <w:r w:rsidR="003953DD" w:rsidRPr="00D57C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,9 </w:t>
            </w: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руб. Также сельхозтоваропроизводители нашего района активно участвуют в республиканских ярмарках. </w:t>
            </w:r>
          </w:p>
          <w:p w:rsidR="003953DD" w:rsidRPr="00D57CD6" w:rsidRDefault="003953DD" w:rsidP="00D6648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252525"/>
                <w:spacing w:val="-6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района ведут хозяйственную деятельность 64 предприятия и организации, оказывающие негативное влияние на окружающую среду, из них 35 предприятий, ведущих лицензионную деятельность по добыче полезных ископаемых, в том числе такие крупные, как ООО «СУЭК-Хакасия», </w:t>
            </w:r>
            <w:r w:rsidR="0020301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7CD6">
              <w:rPr>
                <w:rFonts w:ascii="Times New Roman" w:hAnsi="Times New Roman" w:cs="Times New Roman"/>
                <w:color w:val="252525"/>
                <w:spacing w:val="-6"/>
                <w:sz w:val="26"/>
                <w:szCs w:val="26"/>
              </w:rPr>
              <w:t xml:space="preserve">ЗАО «УК «Разрез Степной»». В 2016 году в бюджет района поступила плата за негативное воздействие на окружающую среду в сумме 14,3 </w:t>
            </w:r>
            <w:proofErr w:type="gramStart"/>
            <w:r w:rsidRPr="00D57CD6">
              <w:rPr>
                <w:rFonts w:ascii="Times New Roman" w:hAnsi="Times New Roman" w:cs="Times New Roman"/>
                <w:color w:val="252525"/>
                <w:spacing w:val="-6"/>
                <w:sz w:val="26"/>
                <w:szCs w:val="26"/>
              </w:rPr>
              <w:t>млн</w:t>
            </w:r>
            <w:proofErr w:type="gramEnd"/>
            <w:r w:rsidR="0020301D">
              <w:rPr>
                <w:rFonts w:ascii="Times New Roman" w:hAnsi="Times New Roman" w:cs="Times New Roman"/>
                <w:color w:val="252525"/>
                <w:spacing w:val="-6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color w:val="252525"/>
                <w:spacing w:val="-6"/>
                <w:sz w:val="26"/>
                <w:szCs w:val="26"/>
              </w:rPr>
              <w:t xml:space="preserve">руб.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За отчетный год выполнена рекультивация земельных участков после проведения горных работ на площади 56 га на сумму около 1,5 млн руб. </w:t>
            </w:r>
          </w:p>
          <w:p w:rsidR="003953DD" w:rsidRPr="00D57CD6" w:rsidRDefault="003953DD" w:rsidP="00D6648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На территории района организована и работает система обращения с твердыми отходами производства и потребления. Предприятиями и организациями Усть-Абаканского района, в том числе от населения, вывезено 3713,0 куб.м ТБО на полигон бытовых отходов, который расположен в 2,5 км северо-западнее п</w:t>
            </w: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сть-Абакан и г.Сорска. </w:t>
            </w:r>
          </w:p>
          <w:p w:rsidR="003953DD" w:rsidRPr="00D57CD6" w:rsidRDefault="003953DD" w:rsidP="00D6648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В рамках проведении Всероссийского экологического субботника «Зеленая планета», за счет средств местных бюджетов в поселениях района:</w:t>
            </w:r>
          </w:p>
          <w:p w:rsidR="003741AA" w:rsidRDefault="003953DD" w:rsidP="00D6648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74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ликвидировано </w:t>
            </w:r>
            <w:r w:rsidR="003741AA">
              <w:rPr>
                <w:rFonts w:ascii="Times New Roman" w:hAnsi="Times New Roman" w:cs="Times New Roman"/>
                <w:sz w:val="26"/>
                <w:szCs w:val="26"/>
              </w:rPr>
              <w:t xml:space="preserve">19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свалок</w:t>
            </w:r>
            <w:r w:rsidR="003741A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953DD" w:rsidRPr="00D57CD6" w:rsidRDefault="003953DD" w:rsidP="00D6648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74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очищенная площадь</w:t>
            </w:r>
            <w:r w:rsidR="003741AA">
              <w:rPr>
                <w:rFonts w:ascii="Times New Roman" w:hAnsi="Times New Roman" w:cs="Times New Roman"/>
                <w:sz w:val="26"/>
                <w:szCs w:val="26"/>
              </w:rPr>
              <w:t xml:space="preserve"> 71 500 </w:t>
            </w:r>
            <w:proofErr w:type="spellStart"/>
            <w:r w:rsidR="003741AA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="003741AA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="003741A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953DD" w:rsidRPr="00D57CD6" w:rsidRDefault="003953DD" w:rsidP="00D6648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- вывезено мусора</w:t>
            </w:r>
            <w:r w:rsidR="00374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3019 </w:t>
            </w:r>
            <w:proofErr w:type="spell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953DD" w:rsidRPr="00D57CD6" w:rsidRDefault="003953DD" w:rsidP="00D6648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С целью уменьшения негативного воздействия на окружающую среду проведена работа с собственниками земельных участков с теплицами в районе </w:t>
            </w:r>
            <w:proofErr w:type="spell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ашеба</w:t>
            </w:r>
            <w:proofErr w:type="spell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, использовавшими несертифицированные на территории РФ удобрения и стимуляторы роста. На основании решений судов по прекращению выращивания овощной продукции были организованы работы с привлечением жителей Республики Хакасии, Глав КФХ по демонтажу теплиц. На земельных участках, расположенных западнее и юго-западнее </w:t>
            </w:r>
            <w:proofErr w:type="spell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ашеба</w:t>
            </w:r>
            <w:proofErr w:type="spell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, в 2013</w:t>
            </w:r>
            <w:r w:rsidR="003741AA" w:rsidRPr="00D57CD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2015 находилось 791 теплица, на площади 321 га. В результате выполнения мероприятий демонтировано полностью или частично 744.</w:t>
            </w:r>
          </w:p>
          <w:p w:rsidR="00D26A98" w:rsidRPr="00D57CD6" w:rsidRDefault="003953DD" w:rsidP="00D6648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В настоящее время на территории Усть-Абаканского района находится около 80 </w:t>
            </w:r>
            <w:proofErr w:type="spell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невостребованных земель </w:t>
            </w:r>
            <w:proofErr w:type="spellStart"/>
            <w:r w:rsidR="00D26A98" w:rsidRPr="00D57CD6">
              <w:rPr>
                <w:rFonts w:ascii="Times New Roman" w:hAnsi="Times New Roman" w:cs="Times New Roman"/>
                <w:sz w:val="26"/>
                <w:szCs w:val="26"/>
              </w:rPr>
              <w:t>сельхоз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назначения</w:t>
            </w:r>
            <w:proofErr w:type="spell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. С целью борьбы с засорением сельскохозяйственных земель, захламлением отходами производства и потребления, проводится мониторинг таких земель, выполняются мероприятия по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очистке земель от свалок, выявлению и уничтожению дикорастущей конопли.</w:t>
            </w:r>
          </w:p>
          <w:p w:rsidR="00D26A98" w:rsidRPr="00D57CD6" w:rsidRDefault="00D26A98" w:rsidP="00D6648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0C407B" w:rsidRPr="00D57CD6" w:rsidRDefault="004916AE" w:rsidP="00D6648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57C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4.2.3. Создает организационные, экономические, правовые и иные необходимые условия для функционирования на территории  муниципального района эффективной инвестпроводящей системы, формирования привлекательного инвестиционного имиджа территории</w:t>
            </w:r>
          </w:p>
          <w:p w:rsidR="002C7E42" w:rsidRPr="00D57CD6" w:rsidRDefault="002C7E42" w:rsidP="00B6709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Инвестиции в основной капитал по крупным и средним организациям</w:t>
            </w:r>
            <w:r w:rsidR="000B2C23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в 2016 году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были использованы в объеме 792,4 </w:t>
            </w: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руб., что на 47,7</w:t>
            </w:r>
            <w:r w:rsidR="00374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% выше показателя </w:t>
            </w:r>
            <w:r w:rsidR="003741AA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года. В структуре инвестиций в основной капитал по видам основных фондов наибольший объем приходился на здания и сооружения </w:t>
            </w:r>
            <w:r w:rsidR="003741A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(51,9</w:t>
            </w:r>
            <w:r w:rsidR="00374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%), машины, оборудование, транспортные средства (45,1</w:t>
            </w:r>
            <w:r w:rsidR="00374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%). Значительно увеличился объём инвестиций на душу населения с 11 507 руб. в 2015</w:t>
            </w:r>
            <w:r w:rsidR="00374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741AA">
              <w:rPr>
                <w:rFonts w:ascii="Times New Roman" w:hAnsi="Times New Roman" w:cs="Times New Roman"/>
                <w:sz w:val="26"/>
                <w:szCs w:val="26"/>
              </w:rPr>
              <w:t xml:space="preserve">оду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3741A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18 957 руб. в 2016</w:t>
            </w:r>
            <w:r w:rsidR="00374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741AA">
              <w:rPr>
                <w:rFonts w:ascii="Times New Roman" w:hAnsi="Times New Roman" w:cs="Times New Roman"/>
                <w:sz w:val="26"/>
                <w:szCs w:val="26"/>
              </w:rPr>
              <w:t>оду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C7E42" w:rsidRPr="00D57CD6" w:rsidRDefault="002C7E42" w:rsidP="00B670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2016 году в рамках Комплексного инвестиционного плана развития </w:t>
            </w:r>
            <w:r w:rsidR="00C77422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D57C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Усть-Абаканского района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были реализовано 8 инвестиционных проектов на общую сумму 1343,7 </w:t>
            </w: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руб., из них:</w:t>
            </w:r>
          </w:p>
          <w:p w:rsidR="002C7E42" w:rsidRPr="00D57CD6" w:rsidRDefault="002C7E42" w:rsidP="00B670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- 3 проекта развития промышленного производства на сумму 1</w:t>
            </w:r>
            <w:r w:rsidR="00C774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331,1 </w:t>
            </w: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руб. – проекты ООО «СУЭК-Хакасия» по переработке изношенных автомобильных шин для изготовления резиновой плитки, по реконструкции горнотранспортной части отработки Черногорского месторождения, строительство линии по производству </w:t>
            </w:r>
            <w:proofErr w:type="spell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бентонитовых</w:t>
            </w:r>
            <w:proofErr w:type="spell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гранул ООО «Хакасский Бентонит»;</w:t>
            </w:r>
          </w:p>
          <w:p w:rsidR="002C7E42" w:rsidRPr="00D57CD6" w:rsidRDefault="002C7E42" w:rsidP="00B670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- 2 проекта пищевой и перерабатывающей отрасли на сумму 5,15 </w:t>
            </w: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="00C774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рублей, направленные на расширение и модернизацию действующего производства – ООО СПК «Сибирь» и ООО «Сыродел»;</w:t>
            </w:r>
          </w:p>
          <w:p w:rsidR="002C7E42" w:rsidRPr="00D57CD6" w:rsidRDefault="002C7E42" w:rsidP="00B670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- частично реализовано 3 проекта агропромышленного комплекса на сумму 7,4 </w:t>
            </w: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руб., направленных на развитие семейных животноводческих ферм и строительство откормочных площадок для сельскохозяйственных животных в крестьянских фермерских хозяйствах.</w:t>
            </w:r>
          </w:p>
          <w:p w:rsidR="002C7E42" w:rsidRPr="00D57CD6" w:rsidRDefault="002A18B5" w:rsidP="00B670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Основным инструментом реализации государственной политики в сфере предпринимательства в 201</w:t>
            </w:r>
            <w:r w:rsidR="00C7742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году являлась муниципальная программа «Развитие субъектов малого и среднего предпринимательства в Усть-Абаканском районе на  2014</w:t>
            </w:r>
            <w:r w:rsidR="00C77422" w:rsidRPr="00D57CD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2020 годы». В рамках </w:t>
            </w:r>
            <w:r w:rsidR="00D36DFB" w:rsidRPr="00D57CD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рограммы субъектам предпринимательства оказывается консультационная, информационная, имущественная и финансовая  поддержка</w:t>
            </w:r>
            <w:r w:rsidR="00D36DFB" w:rsidRPr="00D57C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C7E42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36DFB" w:rsidRPr="00D57CD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C7E42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редоставлены меры поддержки малого и среднего бизнеса в форме грантов: </w:t>
            </w:r>
          </w:p>
          <w:p w:rsidR="002C7E42" w:rsidRPr="00D57CD6" w:rsidRDefault="002C7E42" w:rsidP="00B670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- на создание и развитие собственного бизнеса </w:t>
            </w:r>
            <w:r w:rsidR="00D36DFB" w:rsidRPr="00D57CD6">
              <w:rPr>
                <w:rFonts w:ascii="Times New Roman" w:hAnsi="Times New Roman" w:cs="Times New Roman"/>
                <w:sz w:val="26"/>
                <w:szCs w:val="26"/>
              </w:rPr>
              <w:t>начинающим предпринимателям на сумму 1</w:t>
            </w:r>
            <w:r w:rsidR="00C774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36DFB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220,0 тыс. рублей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57C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Глава КФХ </w:t>
            </w:r>
            <w:proofErr w:type="spellStart"/>
            <w:r w:rsidRPr="00D57CD6">
              <w:rPr>
                <w:rFonts w:ascii="Times New Roman" w:hAnsi="Times New Roman" w:cs="Times New Roman"/>
                <w:bCs/>
                <w:sz w:val="26"/>
                <w:szCs w:val="26"/>
              </w:rPr>
              <w:t>Чебоненко</w:t>
            </w:r>
            <w:proofErr w:type="spellEnd"/>
            <w:r w:rsidRPr="00D57C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</w:t>
            </w:r>
            <w:r w:rsidR="00C77422">
              <w:rPr>
                <w:rFonts w:ascii="Times New Roman" w:hAnsi="Times New Roman" w:cs="Times New Roman"/>
                <w:bCs/>
                <w:sz w:val="26"/>
                <w:szCs w:val="26"/>
              </w:rPr>
              <w:t>.Е</w:t>
            </w:r>
            <w:r w:rsidRPr="00D57C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«Приобретение грузового автомобиля в целях осуществления сбыта сельскохозяйственной продукции, обеспечения сырьевой базы»</w:t>
            </w:r>
            <w:r w:rsidRPr="00D57C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C77422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D57C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ИП </w:t>
            </w:r>
            <w:proofErr w:type="spellStart"/>
            <w:r w:rsidRPr="00D57CD6">
              <w:rPr>
                <w:rFonts w:ascii="Times New Roman" w:hAnsi="Times New Roman" w:cs="Times New Roman"/>
                <w:bCs/>
                <w:sz w:val="26"/>
                <w:szCs w:val="26"/>
              </w:rPr>
              <w:t>Свиноренко</w:t>
            </w:r>
            <w:proofErr w:type="spellEnd"/>
            <w:r w:rsidR="00C7742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А.С.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«Электромонтажные работы»</w:t>
            </w:r>
            <w:r w:rsidRPr="00D57CD6">
              <w:rPr>
                <w:rFonts w:ascii="Times New Roman" w:hAnsi="Times New Roman" w:cs="Times New Roman"/>
                <w:bCs/>
                <w:sz w:val="26"/>
                <w:szCs w:val="26"/>
              </w:rPr>
              <w:t>, ООО «</w:t>
            </w:r>
            <w:proofErr w:type="spellStart"/>
            <w:r w:rsidRPr="00D57CD6">
              <w:rPr>
                <w:rFonts w:ascii="Times New Roman" w:hAnsi="Times New Roman" w:cs="Times New Roman"/>
                <w:bCs/>
                <w:sz w:val="26"/>
                <w:szCs w:val="26"/>
              </w:rPr>
              <w:t>Соффитто</w:t>
            </w:r>
            <w:proofErr w:type="spellEnd"/>
            <w:r w:rsidRPr="00D57C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генеральный директор </w:t>
            </w:r>
            <w:proofErr w:type="spellStart"/>
            <w:r w:rsidRPr="00D57CD6">
              <w:rPr>
                <w:rFonts w:ascii="Times New Roman" w:hAnsi="Times New Roman" w:cs="Times New Roman"/>
                <w:bCs/>
                <w:sz w:val="26"/>
                <w:szCs w:val="26"/>
              </w:rPr>
              <w:t>Яметов</w:t>
            </w:r>
            <w:proofErr w:type="spellEnd"/>
            <w:r w:rsidRPr="00D57C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</w:t>
            </w:r>
            <w:r w:rsidR="00C7742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D57CD6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="00C7742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D57C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«Изготовление и монтаж натяжных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потолков»); </w:t>
            </w:r>
          </w:p>
          <w:p w:rsidR="002C7E42" w:rsidRPr="00D57CD6" w:rsidRDefault="002C7E42" w:rsidP="00B670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- на приобретение оборудования </w:t>
            </w:r>
            <w:r w:rsidR="000B2C23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на сумму 617,6 тыс. рублей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(ООО «СПК «Сибирь», ООО «Сыродел», ИП </w:t>
            </w:r>
            <w:proofErr w:type="spell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Азаурашвили</w:t>
            </w:r>
            <w:proofErr w:type="spell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C774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774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2C7E42" w:rsidRPr="00D57CD6" w:rsidRDefault="002C7E42" w:rsidP="00B6709E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D36DFB" w:rsidRPr="00D57C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целях осуществления</w:t>
            </w:r>
            <w:r w:rsidRPr="00D57C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имущественной поддержки субъектам малого и среднего бизнеса выделяются во временное пользование земельные участки, муниципальные объекты недвижимости на правах аренды. В 2016 году действует 89 договоров аренды земли с субъектами малого и среднего бизнеса, в том числе заключенных в 2016 году </w:t>
            </w:r>
            <w:r w:rsidR="004112B7" w:rsidRPr="00D57CD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57C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2.</w:t>
            </w:r>
          </w:p>
          <w:p w:rsidR="002C7E42" w:rsidRPr="00D57CD6" w:rsidRDefault="002C7E42" w:rsidP="00B670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мероприятий </w:t>
            </w: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консультаци</w:t>
            </w:r>
            <w:r w:rsidR="004112B7">
              <w:rPr>
                <w:rFonts w:ascii="Times New Roman" w:hAnsi="Times New Roman" w:cs="Times New Roman"/>
                <w:sz w:val="26"/>
                <w:szCs w:val="26"/>
              </w:rPr>
              <w:t>онной</w:t>
            </w:r>
            <w:proofErr w:type="gramEnd"/>
            <w:r w:rsidR="004112B7">
              <w:rPr>
                <w:rFonts w:ascii="Times New Roman" w:hAnsi="Times New Roman" w:cs="Times New Roman"/>
                <w:sz w:val="26"/>
                <w:szCs w:val="26"/>
              </w:rPr>
              <w:t xml:space="preserve"> и информационной поддержки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в 2016 году ООО «Консультационная служба «Налоги. Бизнес. Право»» проводился семинар с предпринимателями «</w:t>
            </w:r>
            <w:r w:rsidRPr="00D57C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Изменения в законодательстве, регулирующем предпринимательскую деятельность с 2017 года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». Рассматривались вопросы: изменения в трудовом законодательстве с 2017 года, изменения по страховым взносам, изменения налогового законодательства, изменения по применению контрольно-кассовой техники. Семинар проводился на бесплатной основе. Предпринимателям раздавалась методическая литература.</w:t>
            </w:r>
          </w:p>
          <w:p w:rsidR="00555275" w:rsidRPr="00D57CD6" w:rsidRDefault="00555275" w:rsidP="00B6709E">
            <w:pPr>
              <w:autoSpaceDE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Усть-Абаканского района ведется активная работа по реализации приоритетного национального проекта «Доступное и комфортное жилье – гражданам России». </w:t>
            </w:r>
            <w:r w:rsidR="000B2C23" w:rsidRPr="00D57CD6">
              <w:rPr>
                <w:rFonts w:ascii="Times New Roman" w:hAnsi="Times New Roman" w:cs="Times New Roman"/>
                <w:sz w:val="26"/>
                <w:szCs w:val="26"/>
              </w:rPr>
              <w:t>Разработаны документы территориального планирования и правила землепользования и застройки, разработана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и утверждена муниципальная программа «Жилище (2014</w:t>
            </w:r>
            <w:r w:rsidR="004112B7" w:rsidRPr="00D57CD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2020г.г.)», в рамках которой действуют подпрограммы в трех направлениях: «Свой дом», «Обеспечение жильем молодых семей», «Переселение жителей Усть-Абаканского района из аварийного и непригодного для проживания жилищного фонда».</w:t>
            </w:r>
          </w:p>
          <w:p w:rsidR="00555275" w:rsidRPr="00D57CD6" w:rsidRDefault="00555275" w:rsidP="00B6709E">
            <w:pPr>
              <w:pStyle w:val="ConsPlusNonformat"/>
              <w:tabs>
                <w:tab w:val="left" w:pos="5532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Основными задачами Программ</w:t>
            </w:r>
            <w:r w:rsidR="00B81007" w:rsidRPr="00D57CD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явля</w:t>
            </w:r>
            <w:r w:rsidR="00B81007" w:rsidRPr="00D57CD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тся: </w:t>
            </w:r>
          </w:p>
          <w:p w:rsidR="00555275" w:rsidRPr="00D57CD6" w:rsidRDefault="00555275" w:rsidP="00B6709E">
            <w:pPr>
              <w:pStyle w:val="ConsPlusNonformat"/>
              <w:tabs>
                <w:tab w:val="left" w:pos="5532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- вовлечение в оборот земельных участков в целях строительства жилья эконом класса и ИЖС;</w:t>
            </w:r>
          </w:p>
          <w:p w:rsidR="00555275" w:rsidRPr="00D57CD6" w:rsidRDefault="00555275" w:rsidP="00B6709E">
            <w:pPr>
              <w:pStyle w:val="ConsPlusNonformat"/>
              <w:tabs>
                <w:tab w:val="left" w:pos="5532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- обеспечение земельными участками молодежи;</w:t>
            </w:r>
          </w:p>
          <w:p w:rsidR="00555275" w:rsidRPr="00D57CD6" w:rsidRDefault="00555275" w:rsidP="00B6709E">
            <w:pPr>
              <w:pStyle w:val="ConsPlusNonformat"/>
              <w:tabs>
                <w:tab w:val="left" w:pos="5532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активного участия в жилищном строительстве индивидуальных застройщиков;</w:t>
            </w:r>
          </w:p>
          <w:p w:rsidR="00555275" w:rsidRPr="00D57CD6" w:rsidRDefault="00555275" w:rsidP="00B6709E">
            <w:pPr>
              <w:pStyle w:val="ConsPlusNonformat"/>
              <w:tabs>
                <w:tab w:val="left" w:pos="5532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- переселение граждан из аварийного и непригодного для проживания жилищного фонда;</w:t>
            </w:r>
          </w:p>
          <w:p w:rsidR="00555275" w:rsidRPr="00D57CD6" w:rsidRDefault="001D230E" w:rsidP="00B6709E">
            <w:pPr>
              <w:autoSpaceDE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- предоставление государственной поддержки в решении жилищной проблемы молодым семьям, признанным в установленном порядке,  нуждающимися в улучшении жилищных условий.</w:t>
            </w:r>
          </w:p>
          <w:p w:rsidR="000B2C23" w:rsidRPr="00D57CD6" w:rsidRDefault="000B2C23" w:rsidP="00B6709E">
            <w:pPr>
              <w:pStyle w:val="ConsPlusNonformat"/>
              <w:tabs>
                <w:tab w:val="left" w:pos="709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В 2016 году построен </w:t>
            </w:r>
            <w:r w:rsidRPr="00D57C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 жилой дом,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введено в эксплуатацию 9 683 кв.м. жилой площади, что в расчете на одного жителя составляет 0,23 кв.м. Общая площадь жилого фонда в Усть-Абаканском районе на 01.01.2017 года составила 835,</w:t>
            </w:r>
            <w:r w:rsidR="004112B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тыс.кв.м</w:t>
            </w:r>
            <w:proofErr w:type="spell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. Средняя обеспеченность жильем на 1 человека - 19,99 кв.м. </w:t>
            </w:r>
          </w:p>
          <w:p w:rsidR="000B2C23" w:rsidRPr="00D57CD6" w:rsidRDefault="000B2C23" w:rsidP="00B670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Количество нуждающихся в улучшении жилищных условий в отчетном году составило 1</w:t>
            </w:r>
            <w:r w:rsidR="004112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311 семей. </w:t>
            </w: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Улучшить свои жилищные условия смогли 15 семей, из них 3 </w:t>
            </w:r>
            <w:r w:rsidR="004112B7" w:rsidRPr="00D57CD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получили жилые помещения по договору соц. найма (</w:t>
            </w:r>
            <w:proofErr w:type="spell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Усть-Бюрь</w:t>
            </w:r>
            <w:proofErr w:type="spell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  <w:r w:rsidR="004112B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11 </w:t>
            </w:r>
            <w:r w:rsidR="004112B7" w:rsidRPr="00D57CD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получили субсидии по программе «Устойчивое развитие сельских территорий», 1 – получили субсидии по программе «Обеспечение жильем молодых семей»). </w:t>
            </w:r>
            <w:proofErr w:type="gramEnd"/>
          </w:p>
          <w:p w:rsidR="000B2C23" w:rsidRPr="00D57CD6" w:rsidRDefault="000B2C23" w:rsidP="00B6709E">
            <w:pPr>
              <w:pStyle w:val="aa"/>
              <w:spacing w:after="0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B6709E" w:rsidRPr="00D57CD6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 w:rsidR="00B6709E" w:rsidRPr="00D57CD6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="00B6709E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сть-Абакан в рамках реализации государственной программы РХ «Переселение жителей из аварийного и непригодного для проживания жилищного фонда» ведется строительство двух многоквартирных домов. В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2017 году планируется обеспечить жителей, проживающих в аварийном жилом фонде </w:t>
            </w:r>
            <w:r w:rsidR="004112B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. Усть-Абакан (10 МКД, площадь 4 0176 кв.м.), жильем в количестве 5,6 тыс. кв.м. </w:t>
            </w:r>
          </w:p>
          <w:p w:rsidR="00B6709E" w:rsidRPr="00D57CD6" w:rsidRDefault="00B6709E" w:rsidP="00B6709E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По состоянию на 01.01.2017 в Списке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состоит 248 человек. В 2016 году</w:t>
            </w: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рамках реализации Федерального закона от 21.12.1996 № 159-ФЗ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«О дополнительных гарантиях по социальной поддержке детей-сирот и детей, оставшихся без попечения родителей» приобретено 33 квартиры (в 2015</w:t>
            </w:r>
            <w:r w:rsidR="004112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4112B7" w:rsidRPr="00D57CD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9 квартир), в том числе 5 квартир приобретено на первичном рынке.</w:t>
            </w:r>
          </w:p>
          <w:p w:rsidR="00D960FB" w:rsidRPr="00D57CD6" w:rsidRDefault="00C506BD" w:rsidP="00D245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формирование и выделение земельных участков под индивидуальное жилищное строительство на территории района </w:t>
            </w:r>
            <w:r w:rsidR="004112B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4112B7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-Абакан, </w:t>
            </w:r>
            <w:proofErr w:type="spell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с.Солнечное</w:t>
            </w:r>
            <w:proofErr w:type="spell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п.Ташеба</w:t>
            </w:r>
            <w:proofErr w:type="spell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с.Зелёное</w:t>
            </w:r>
            <w:proofErr w:type="spell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) льготным категориям граждан в рамках реализации Закона Республики Хакасия от 05.05.2003 № 25-ЗРХ «О предоставлении в собственность граждан и юридических лиц земельных участков, находящихся в государственной и муниципальной собственности», Закона Республики Хакасия от 26.10.2011 № 88-ЗРХ «О бесплатном предоставлении в собственность граждан, имеющих трех и более детей, земельных участков на территории Республики Хакасия». В 2016 году 814 земельных участков в </w:t>
            </w:r>
            <w:proofErr w:type="spellStart"/>
            <w:r w:rsidR="004112B7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-Абакан предоставлено льготным категориям граждан, из них 379 участков – состоящим на учете в качестве нуждающихся в жилых помещениях, 175 – молодым семьям, 54 – семьям, имеющим </w:t>
            </w:r>
            <w:r w:rsidR="004112B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детей-инвалидов, 42 – молодым специалистам, 90 – ветеранам боевых действий, 74 – многодетным семьям. Также для обеспечения льготной категории граждан сформирован земельный массив в с. </w:t>
            </w: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Солнечное</w:t>
            </w:r>
            <w:proofErr w:type="gram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. Общая площадь земельных участков, предоставленных гражданам в 2016 году, составляет 975 тыс.кв.м. </w:t>
            </w:r>
            <w:r w:rsidR="004112B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(975 участков).</w:t>
            </w:r>
          </w:p>
          <w:p w:rsidR="004473FC" w:rsidRPr="00D57CD6" w:rsidRDefault="004473FC" w:rsidP="00D6648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Стратегия муниципального образования Усть-Абаканский район также направлена на активное вовлечение новых земельных ресурсов в хозяйственный оборот для устойчивого экономического и социального роста. Эффективное использование земельных ресурсов позволит повысить уровень и качество жизни населения, сформировать комфортную среду для проживания и приложения труда.</w:t>
            </w:r>
          </w:p>
          <w:p w:rsidR="004473FC" w:rsidRPr="00D57CD6" w:rsidRDefault="004473FC" w:rsidP="00E540D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На сегодняшний день в Усть-Абаканском районе сформированы </w:t>
            </w:r>
            <w:r w:rsidR="004112B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6 перспективных инвестиционных площадок: для организации промышленного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производства 3 площадки, сельскохозяйственного производства (1 площадка), а также 2 площадки под комплексную жилую застройку. </w:t>
            </w:r>
          </w:p>
          <w:p w:rsidR="00C737E9" w:rsidRPr="00D57CD6" w:rsidRDefault="00343D3D" w:rsidP="00C737E9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Росту инвестиционной активности способствует развитие туризма в </w:t>
            </w:r>
            <w:r w:rsidR="004112B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Усть-Абаканском районе. </w:t>
            </w:r>
            <w:r w:rsidR="001D230E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С целью создания благоприятных условий для развития внутреннего и въездного туризма и удовлетворения </w:t>
            </w:r>
            <w:proofErr w:type="gramStart"/>
            <w:r w:rsidR="001D230E" w:rsidRPr="00D57CD6">
              <w:rPr>
                <w:rFonts w:ascii="Times New Roman" w:hAnsi="Times New Roman" w:cs="Times New Roman"/>
                <w:sz w:val="26"/>
                <w:szCs w:val="26"/>
              </w:rPr>
              <w:t>потребностей</w:t>
            </w:r>
            <w:proofErr w:type="gramEnd"/>
            <w:r w:rsidR="001D230E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российских и иностранных граждан в качественных туристских услугах</w:t>
            </w:r>
            <w:r w:rsidR="00C60B51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737E9" w:rsidRPr="00D57CD6">
              <w:rPr>
                <w:rFonts w:ascii="Times New Roman" w:hAnsi="Times New Roman" w:cs="Times New Roman"/>
                <w:sz w:val="26"/>
                <w:szCs w:val="26"/>
                <w:lang w:eastAsia="en-GB"/>
              </w:rPr>
              <w:t xml:space="preserve">музеем «Древние курганы </w:t>
            </w:r>
            <w:proofErr w:type="spellStart"/>
            <w:r w:rsidR="00C737E9" w:rsidRPr="00D57CD6">
              <w:rPr>
                <w:rFonts w:ascii="Times New Roman" w:hAnsi="Times New Roman" w:cs="Times New Roman"/>
                <w:sz w:val="26"/>
                <w:szCs w:val="26"/>
                <w:lang w:eastAsia="en-GB"/>
              </w:rPr>
              <w:t>Салбыкской</w:t>
            </w:r>
            <w:proofErr w:type="spellEnd"/>
            <w:r w:rsidR="00C737E9" w:rsidRPr="00D57CD6">
              <w:rPr>
                <w:rFonts w:ascii="Times New Roman" w:hAnsi="Times New Roman" w:cs="Times New Roman"/>
                <w:sz w:val="26"/>
                <w:szCs w:val="26"/>
                <w:lang w:eastAsia="en-GB"/>
              </w:rPr>
              <w:t xml:space="preserve"> степи» </w:t>
            </w:r>
            <w:r w:rsidR="00C737E9" w:rsidRPr="00D57CD6">
              <w:rPr>
                <w:rFonts w:ascii="Times New Roman" w:hAnsi="Times New Roman" w:cs="Times New Roman"/>
                <w:sz w:val="26"/>
                <w:szCs w:val="26"/>
              </w:rPr>
              <w:t>была проделана следующая работа:</w:t>
            </w:r>
          </w:p>
          <w:p w:rsidR="00E540DA" w:rsidRPr="00D57CD6" w:rsidRDefault="00C737E9" w:rsidP="00C737E9">
            <w:pPr>
              <w:pStyle w:val="a5"/>
              <w:tabs>
                <w:tab w:val="left" w:pos="284"/>
              </w:tabs>
              <w:spacing w:before="0" w:beforeAutospacing="0" w:after="0" w:afterAutospacing="0" w:line="276" w:lineRule="auto"/>
              <w:ind w:firstLine="709"/>
              <w:jc w:val="both"/>
              <w:rPr>
                <w:sz w:val="26"/>
                <w:szCs w:val="26"/>
              </w:rPr>
            </w:pPr>
            <w:r w:rsidRPr="00D57CD6">
              <w:rPr>
                <w:sz w:val="26"/>
                <w:szCs w:val="26"/>
                <w:lang w:eastAsia="en-GB"/>
              </w:rPr>
              <w:t xml:space="preserve">- </w:t>
            </w:r>
            <w:r w:rsidR="00E540DA" w:rsidRPr="00D57CD6">
              <w:rPr>
                <w:sz w:val="26"/>
                <w:szCs w:val="26"/>
                <w:lang w:eastAsia="en-GB"/>
              </w:rPr>
              <w:t xml:space="preserve">организована передвижная экспозиция «Открывая страницы истории», посвященная 110-летию профессора </w:t>
            </w:r>
            <w:proofErr w:type="spellStart"/>
            <w:r w:rsidR="00E540DA" w:rsidRPr="00D57CD6">
              <w:rPr>
                <w:sz w:val="26"/>
                <w:szCs w:val="26"/>
                <w:lang w:eastAsia="en-GB"/>
              </w:rPr>
              <w:t>С.В.Киселева</w:t>
            </w:r>
            <w:proofErr w:type="spellEnd"/>
            <w:r w:rsidR="004112B7">
              <w:rPr>
                <w:sz w:val="26"/>
                <w:szCs w:val="26"/>
                <w:lang w:eastAsia="en-GB"/>
              </w:rPr>
              <w:t>,</w:t>
            </w:r>
            <w:r w:rsidR="00E540DA" w:rsidRPr="00D57CD6">
              <w:rPr>
                <w:sz w:val="26"/>
                <w:szCs w:val="26"/>
                <w:lang w:eastAsia="en-GB"/>
              </w:rPr>
              <w:t xml:space="preserve"> одного из основателей советской археологии;</w:t>
            </w:r>
          </w:p>
          <w:p w:rsidR="00E540DA" w:rsidRPr="00D57CD6" w:rsidRDefault="00C737E9" w:rsidP="00C737E9">
            <w:pPr>
              <w:pStyle w:val="a7"/>
              <w:tabs>
                <w:tab w:val="left" w:pos="284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  <w:lang w:eastAsia="en-GB"/>
              </w:rPr>
              <w:t>- проведен</w:t>
            </w:r>
            <w:r w:rsidR="00E540DA" w:rsidRPr="00D57CD6">
              <w:rPr>
                <w:rFonts w:ascii="Times New Roman" w:hAnsi="Times New Roman" w:cs="Times New Roman"/>
                <w:sz w:val="26"/>
                <w:szCs w:val="26"/>
                <w:lang w:eastAsia="en-GB"/>
              </w:rPr>
              <w:t xml:space="preserve"> день открытых дверей в рамках празднования Дня музеев 18 мая и Всемирного дня туризма 27 сентября;</w:t>
            </w:r>
          </w:p>
          <w:p w:rsidR="00E540DA" w:rsidRPr="00D57CD6" w:rsidRDefault="00E540DA" w:rsidP="00C737E9">
            <w:pPr>
              <w:pStyle w:val="a7"/>
              <w:tabs>
                <w:tab w:val="left" w:pos="284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- установлены два знака туристской навигации к объектам культурного наследия – Большому </w:t>
            </w:r>
            <w:proofErr w:type="spell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Салбыкскому</w:t>
            </w:r>
            <w:proofErr w:type="spell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кургану и кургану Барсучий Лог. Указатели разработаны в соответствии с единой общероссийской системой навигации и ориентирующей информации для туристов; </w:t>
            </w:r>
          </w:p>
          <w:p w:rsidR="00E540DA" w:rsidRPr="00D57CD6" w:rsidRDefault="00E540DA" w:rsidP="00C737E9">
            <w:pPr>
              <w:pStyle w:val="a7"/>
              <w:tabs>
                <w:tab w:val="left" w:pos="284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  <w:lang w:eastAsia="en-GB"/>
              </w:rPr>
              <w:t>- 21 сентября 2016 г</w:t>
            </w:r>
            <w:r w:rsidR="004112B7">
              <w:rPr>
                <w:rFonts w:ascii="Times New Roman" w:hAnsi="Times New Roman" w:cs="Times New Roman"/>
                <w:sz w:val="26"/>
                <w:szCs w:val="26"/>
                <w:lang w:eastAsia="en-GB"/>
              </w:rPr>
              <w:t xml:space="preserve">ода </w:t>
            </w:r>
            <w:r w:rsidRPr="00D57CD6">
              <w:rPr>
                <w:rFonts w:ascii="Times New Roman" w:hAnsi="Times New Roman" w:cs="Times New Roman"/>
                <w:sz w:val="26"/>
                <w:szCs w:val="26"/>
                <w:lang w:eastAsia="en-GB"/>
              </w:rPr>
              <w:t>проведено мероприятие «Ожившая история Долины царей», в мероприятии приняли участие около ста человек;</w:t>
            </w:r>
          </w:p>
          <w:p w:rsidR="00E540DA" w:rsidRPr="00D57CD6" w:rsidRDefault="00E540DA" w:rsidP="00C737E9">
            <w:pPr>
              <w:pStyle w:val="a7"/>
              <w:tabs>
                <w:tab w:val="left" w:pos="284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  <w:lang w:eastAsia="en-GB"/>
              </w:rPr>
              <w:t xml:space="preserve">- </w:t>
            </w:r>
            <w:r w:rsidR="00C737E9" w:rsidRPr="00D57CD6">
              <w:rPr>
                <w:rFonts w:ascii="Times New Roman" w:hAnsi="Times New Roman" w:cs="Times New Roman"/>
                <w:sz w:val="26"/>
                <w:szCs w:val="26"/>
                <w:lang w:eastAsia="en-GB"/>
              </w:rPr>
              <w:t>в</w:t>
            </w:r>
            <w:r w:rsidRPr="00D57CD6">
              <w:rPr>
                <w:rFonts w:ascii="Times New Roman" w:hAnsi="Times New Roman" w:cs="Times New Roman"/>
                <w:sz w:val="26"/>
                <w:szCs w:val="26"/>
                <w:lang w:eastAsia="en-GB"/>
              </w:rPr>
              <w:t xml:space="preserve"> течение всего сезона в музее «Древние курганы </w:t>
            </w:r>
            <w:proofErr w:type="spellStart"/>
            <w:r w:rsidRPr="00D57CD6">
              <w:rPr>
                <w:rFonts w:ascii="Times New Roman" w:hAnsi="Times New Roman" w:cs="Times New Roman"/>
                <w:sz w:val="26"/>
                <w:szCs w:val="26"/>
                <w:lang w:eastAsia="en-GB"/>
              </w:rPr>
              <w:t>Салбыкской</w:t>
            </w:r>
            <w:proofErr w:type="spellEnd"/>
            <w:r w:rsidRPr="00D57CD6">
              <w:rPr>
                <w:rFonts w:ascii="Times New Roman" w:hAnsi="Times New Roman" w:cs="Times New Roman"/>
                <w:sz w:val="26"/>
                <w:szCs w:val="26"/>
                <w:lang w:eastAsia="en-GB"/>
              </w:rPr>
              <w:t xml:space="preserve"> степи» проводилась интерактивная познавательная программа для школьников «Путешествие в Долину царей»; </w:t>
            </w:r>
          </w:p>
          <w:p w:rsidR="00E540DA" w:rsidRPr="00D57CD6" w:rsidRDefault="00E540DA" w:rsidP="00C737E9">
            <w:pPr>
              <w:pStyle w:val="a5"/>
              <w:tabs>
                <w:tab w:val="left" w:pos="284"/>
              </w:tabs>
              <w:spacing w:before="0" w:beforeAutospacing="0" w:after="0" w:afterAutospacing="0" w:line="276" w:lineRule="auto"/>
              <w:ind w:firstLine="709"/>
              <w:jc w:val="both"/>
              <w:rPr>
                <w:bCs/>
                <w:sz w:val="26"/>
                <w:szCs w:val="26"/>
              </w:rPr>
            </w:pPr>
            <w:r w:rsidRPr="00D57CD6">
              <w:rPr>
                <w:sz w:val="26"/>
                <w:szCs w:val="26"/>
                <w:lang w:eastAsia="en-GB"/>
              </w:rPr>
              <w:t xml:space="preserve">- </w:t>
            </w:r>
            <w:r w:rsidR="00C737E9" w:rsidRPr="00D57CD6">
              <w:rPr>
                <w:sz w:val="26"/>
                <w:szCs w:val="26"/>
                <w:lang w:eastAsia="en-GB"/>
              </w:rPr>
              <w:t>в</w:t>
            </w:r>
            <w:r w:rsidRPr="00D57CD6">
              <w:rPr>
                <w:sz w:val="26"/>
                <w:szCs w:val="26"/>
                <w:lang w:eastAsia="en-GB"/>
              </w:rPr>
              <w:t xml:space="preserve"> рамках празднования Дня пожилого человека </w:t>
            </w:r>
            <w:r w:rsidRPr="00D57CD6">
              <w:rPr>
                <w:sz w:val="26"/>
                <w:szCs w:val="26"/>
              </w:rPr>
              <w:t xml:space="preserve">были организованы бесплатные экскурсии на туристские объекты района для ветеранов </w:t>
            </w:r>
            <w:r w:rsidR="004112B7">
              <w:rPr>
                <w:sz w:val="26"/>
                <w:szCs w:val="26"/>
              </w:rPr>
              <w:br/>
            </w:r>
            <w:proofErr w:type="spellStart"/>
            <w:r w:rsidRPr="00D57CD6">
              <w:rPr>
                <w:sz w:val="26"/>
                <w:szCs w:val="26"/>
              </w:rPr>
              <w:t>Усть</w:t>
            </w:r>
            <w:proofErr w:type="spellEnd"/>
            <w:r w:rsidRPr="00D57CD6">
              <w:rPr>
                <w:sz w:val="26"/>
                <w:szCs w:val="26"/>
              </w:rPr>
              <w:t>–Абаканского района</w:t>
            </w:r>
            <w:r w:rsidR="00C737E9" w:rsidRPr="00D57CD6">
              <w:rPr>
                <w:sz w:val="26"/>
                <w:szCs w:val="26"/>
              </w:rPr>
              <w:t>.</w:t>
            </w:r>
          </w:p>
          <w:p w:rsidR="00B602D6" w:rsidRPr="00D57CD6" w:rsidRDefault="00B602D6" w:rsidP="00B602D6">
            <w:pPr>
              <w:pStyle w:val="a5"/>
              <w:tabs>
                <w:tab w:val="left" w:pos="284"/>
              </w:tabs>
              <w:spacing w:before="0" w:beforeAutospacing="0" w:after="0" w:afterAutospacing="0" w:line="276" w:lineRule="auto"/>
              <w:ind w:firstLine="709"/>
              <w:jc w:val="both"/>
              <w:rPr>
                <w:bCs/>
                <w:sz w:val="26"/>
                <w:szCs w:val="26"/>
              </w:rPr>
            </w:pPr>
            <w:r w:rsidRPr="00D57CD6">
              <w:rPr>
                <w:sz w:val="26"/>
                <w:szCs w:val="26"/>
              </w:rPr>
              <w:t xml:space="preserve">С целью создания условий по обеспечению доступности музея для посетителей с ограниченными физическими возможностями здоровья, в 2016 году был реализован проект «Музей для всех и каждого», в рамках которого изготовлен альбом с экскурсией «Большой </w:t>
            </w:r>
            <w:proofErr w:type="spellStart"/>
            <w:r w:rsidRPr="00D57CD6">
              <w:rPr>
                <w:sz w:val="26"/>
                <w:szCs w:val="26"/>
              </w:rPr>
              <w:t>Салбыкский</w:t>
            </w:r>
            <w:proofErr w:type="spellEnd"/>
            <w:r w:rsidRPr="00D57CD6">
              <w:rPr>
                <w:sz w:val="26"/>
                <w:szCs w:val="26"/>
              </w:rPr>
              <w:t xml:space="preserve"> курган» и «Курган Барсучий Лог» (шрифт Брайля); снят фильм «Большой </w:t>
            </w:r>
            <w:proofErr w:type="spellStart"/>
            <w:r w:rsidRPr="00D57CD6">
              <w:rPr>
                <w:sz w:val="26"/>
                <w:szCs w:val="26"/>
              </w:rPr>
              <w:t>Салбыкский</w:t>
            </w:r>
            <w:proofErr w:type="spellEnd"/>
            <w:r w:rsidRPr="00D57CD6">
              <w:rPr>
                <w:sz w:val="26"/>
                <w:szCs w:val="26"/>
              </w:rPr>
              <w:t xml:space="preserve"> курган» с </w:t>
            </w:r>
            <w:proofErr w:type="spellStart"/>
            <w:r w:rsidRPr="00D57CD6">
              <w:rPr>
                <w:sz w:val="26"/>
                <w:szCs w:val="26"/>
              </w:rPr>
              <w:t>сурдопереводом</w:t>
            </w:r>
            <w:proofErr w:type="spellEnd"/>
            <w:r w:rsidRPr="00D57CD6">
              <w:rPr>
                <w:sz w:val="26"/>
                <w:szCs w:val="26"/>
              </w:rPr>
              <w:t xml:space="preserve">; изготовлен тактильный макет памятника федерального значения «Большой </w:t>
            </w:r>
            <w:proofErr w:type="spellStart"/>
            <w:r w:rsidRPr="00D57CD6">
              <w:rPr>
                <w:sz w:val="26"/>
                <w:szCs w:val="26"/>
              </w:rPr>
              <w:t>Салбыкский</w:t>
            </w:r>
            <w:proofErr w:type="spellEnd"/>
            <w:r w:rsidRPr="00D57CD6">
              <w:rPr>
                <w:sz w:val="26"/>
                <w:szCs w:val="26"/>
              </w:rPr>
              <w:t xml:space="preserve"> курган в древности»; изготовлены этикетки к экспонатам музея (шрифт Брайля), изготовлено тактильно-графическое издание «Большой </w:t>
            </w:r>
            <w:proofErr w:type="spellStart"/>
            <w:r w:rsidRPr="00D57CD6">
              <w:rPr>
                <w:sz w:val="26"/>
                <w:szCs w:val="26"/>
              </w:rPr>
              <w:t>Салбыкский</w:t>
            </w:r>
            <w:proofErr w:type="spellEnd"/>
            <w:r w:rsidRPr="00D57CD6">
              <w:rPr>
                <w:sz w:val="26"/>
                <w:szCs w:val="26"/>
              </w:rPr>
              <w:t xml:space="preserve"> курган». Финансирование </w:t>
            </w:r>
            <w:r w:rsidRPr="00D57CD6">
              <w:rPr>
                <w:bCs/>
                <w:sz w:val="26"/>
                <w:szCs w:val="26"/>
              </w:rPr>
              <w:t>в размере 150 тыс. рублей</w:t>
            </w:r>
            <w:r w:rsidRPr="00D57CD6">
              <w:rPr>
                <w:sz w:val="26"/>
                <w:szCs w:val="26"/>
              </w:rPr>
              <w:t xml:space="preserve"> на реализацию данных мероприятий музей получил благодаря победе в конкурсе «Доступная среда – 2016», организованном </w:t>
            </w:r>
            <w:r w:rsidRPr="00D57CD6">
              <w:rPr>
                <w:bCs/>
                <w:sz w:val="26"/>
                <w:szCs w:val="26"/>
              </w:rPr>
              <w:t>некоммерческой организацией «Фонд социально-экономической поддержки регионов «СУЭК – Регионам»».</w:t>
            </w:r>
          </w:p>
          <w:p w:rsidR="00C60B51" w:rsidRPr="00D57CD6" w:rsidRDefault="00C60B51" w:rsidP="00E540D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Проделанная работа позволила увеличить количество посетителей туристских объектов Усть-Абаканского района, усовершенствовать качество предоставления туристических услуг, к тому же популяризировать туристские объекты Усть-Абаканского района как на региональном, так и на международном уровне:</w:t>
            </w:r>
          </w:p>
          <w:p w:rsidR="00C60B51" w:rsidRPr="00D57CD6" w:rsidRDefault="00C60B51" w:rsidP="00E540D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- количество туристов, посетивших туристские объекты района,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увеличилось по отношению к 2015 г. на 7,6</w:t>
            </w:r>
            <w:r w:rsidR="003B5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% и составило 43,9 тыс. чел., из них детей </w:t>
            </w:r>
            <w:r w:rsidR="003B5573" w:rsidRPr="00D57CD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14,2 тыс. чел.;</w:t>
            </w:r>
          </w:p>
          <w:p w:rsidR="00C60B51" w:rsidRPr="00D57CD6" w:rsidRDefault="00C60B51" w:rsidP="00E540D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- количество проведенных экскурсий на объектах туристского показа составило 308 ед. (в 2015 году – 294 ед.). </w:t>
            </w:r>
          </w:p>
          <w:p w:rsidR="006B1476" w:rsidRPr="00D57CD6" w:rsidRDefault="006B1476" w:rsidP="00E540DA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C407B" w:rsidRPr="00D57CD6" w:rsidRDefault="004916AE" w:rsidP="00D6648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7C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4.2.4. Соблюдает условия долевого финансирования из местного бюджета мероприятий в рамках федеральных, </w:t>
            </w:r>
            <w:r w:rsidR="003B557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государственных программ Республики Хакасия</w:t>
            </w:r>
            <w:r w:rsidRPr="00D57C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, муниципальных программ, в </w:t>
            </w:r>
            <w:proofErr w:type="spellStart"/>
            <w:r w:rsidRPr="00D57C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т.ч</w:t>
            </w:r>
            <w:proofErr w:type="spellEnd"/>
            <w:r w:rsidRPr="00D57C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 по строительству, реконструкции, капитальному ремонту объектов муниципальной собственности</w:t>
            </w:r>
          </w:p>
          <w:p w:rsidR="000C407B" w:rsidRPr="00D57CD6" w:rsidRDefault="00D14F0E" w:rsidP="00D6648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7C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201</w:t>
            </w:r>
            <w:r w:rsidR="0074408A" w:rsidRPr="00D57C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4916AE" w:rsidRPr="00D57C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году по Соглашениям о предоставлении субсидий МО </w:t>
            </w:r>
            <w:r w:rsidR="003B55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="004916AE" w:rsidRPr="00D57C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Усть-Абаканский район соблюдал условия долевого финансирования мероприятий в рамках федеральных, </w:t>
            </w:r>
            <w:r w:rsidR="00C778B9" w:rsidRPr="00C778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государственных программ Республики</w:t>
            </w:r>
            <w:r w:rsidR="00C778B9" w:rsidRPr="00C778B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C778B9" w:rsidRPr="00C778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Хакасия</w:t>
            </w:r>
            <w:r w:rsidR="004916AE" w:rsidRPr="00D57C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муниципальных программ. Условия и фактическое выполнение долевого финансирования представлены в </w:t>
            </w:r>
            <w:r w:rsidR="00C778B9" w:rsidRPr="00C778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Приложении</w:t>
            </w:r>
            <w:r w:rsidR="004916AE" w:rsidRPr="00D57C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07F05" w:rsidRPr="00D57CD6" w:rsidRDefault="00807F05" w:rsidP="00D6648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75560" w:rsidRPr="00D57CD6" w:rsidRDefault="004916AE" w:rsidP="00D6648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57C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4.2.5. Укрепляет собственную налогооблагаемую базу, взаимодействует с органом федеральной налоговой службы по вопросам уточнения налогооблагаемой базы, обеспечения полноты и своевременности налоговых поступлений для увеличения объема налоговых доходов в местный бюджет, проводит оптимизацию бюджетных расходов</w:t>
            </w:r>
          </w:p>
          <w:p w:rsidR="0074408A" w:rsidRPr="00D57CD6" w:rsidRDefault="0074408A" w:rsidP="0074408A">
            <w:pPr>
              <w:pStyle w:val="a5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D57CD6">
              <w:rPr>
                <w:sz w:val="26"/>
                <w:szCs w:val="26"/>
              </w:rPr>
              <w:t xml:space="preserve">Приоритетным направлением бюджетной политики муниципального образования является увеличение собственных доходов бюджета. В связи с этим осуществляется реализация мероприятий по повышению роли имущественных налогов в формировании бюджета, во взаимодействии с налоговыми органами путем проведения межведомственной комиссии по недоимке в бюджет и полноты уплаты НДФЛ и других налогов: </w:t>
            </w:r>
          </w:p>
          <w:p w:rsidR="0074408A" w:rsidRPr="00D57CD6" w:rsidRDefault="0074408A" w:rsidP="0074408A">
            <w:pPr>
              <w:pStyle w:val="a5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57CD6">
              <w:rPr>
                <w:color w:val="000000"/>
                <w:sz w:val="26"/>
                <w:szCs w:val="26"/>
              </w:rPr>
              <w:t>- по выявлению собственников земельных участков и другого недвижимого имущества и привлечению их к налогообложению;</w:t>
            </w:r>
          </w:p>
          <w:p w:rsidR="0074408A" w:rsidRPr="00D57CD6" w:rsidRDefault="0074408A" w:rsidP="0074408A">
            <w:pPr>
              <w:pStyle w:val="a5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57CD6">
              <w:rPr>
                <w:color w:val="000000"/>
                <w:sz w:val="26"/>
                <w:szCs w:val="26"/>
              </w:rPr>
              <w:t>- по выявлению собственников, не оформивших имущественные права и проведению разъяснительной работы с ними, оказывается содействие в оформлении права собственности;</w:t>
            </w:r>
          </w:p>
          <w:p w:rsidR="0074408A" w:rsidRPr="00D57CD6" w:rsidRDefault="0074408A" w:rsidP="0074408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исполнения плана мероприятий по укреплению доходной базы бюджета, сокращению задолженности по налогам в районе осуществляется работа межведомственной комиссии по работе с недоимщиками по уплате налогов и сборов и межведомственной комиссии по легализации «теневой» заработной платы. В результате работы комиссий было официально трудоустроено 365 человек, в бюджет дополнительно поступило доходов в сумме 3,6 </w:t>
            </w: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="00C778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74408A" w:rsidRPr="00D57CD6" w:rsidRDefault="0074408A" w:rsidP="0074408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Также большая роль отводится деятельности органов местного самоуправления района и поселений, направленная на повышение эффективности управления муниципальным имуществом, </w:t>
            </w:r>
            <w:r w:rsidRPr="00D57C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увеличение доходов от использования муниципального имущества. Так,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в 2016 году проведен 41 аукцион по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распоряжению земельными участками на территории муниципального района, в том числе заключены 26 договоров купли-продажи, 15 договоров аренды земельных участков (в 2015 году состоялись 4 аукциона, заключены 3 договора купли-продажи, 1 договор аренды земельного участка).</w:t>
            </w:r>
          </w:p>
          <w:p w:rsidR="0074408A" w:rsidRPr="00D57CD6" w:rsidRDefault="0074408A" w:rsidP="0074408A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Произведены начисления неналоговых платежей в 2016 году:</w:t>
            </w:r>
          </w:p>
          <w:p w:rsidR="0074408A" w:rsidRPr="00D57CD6" w:rsidRDefault="0074408A" w:rsidP="0074408A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- по аренде земельных участков 28,2 </w:t>
            </w: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="00C778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C778B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4408A" w:rsidRPr="00D57CD6" w:rsidRDefault="0074408A" w:rsidP="0074408A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- по аренде муниципального имущества 0,767 </w:t>
            </w: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="00C778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74408A" w:rsidRPr="00D57CD6" w:rsidRDefault="0074408A" w:rsidP="0074408A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Начисления в 2015 году составили:</w:t>
            </w:r>
          </w:p>
          <w:p w:rsidR="0074408A" w:rsidRPr="00D57CD6" w:rsidRDefault="0074408A" w:rsidP="0074408A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- по аренде земельных участков 31,7 </w:t>
            </w: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="00C778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C778B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4408A" w:rsidRPr="00D57CD6" w:rsidRDefault="0074408A" w:rsidP="0074408A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- по аренде муниципального имущества 0,767 </w:t>
            </w: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="00C778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74408A" w:rsidRPr="00D57CD6" w:rsidRDefault="0074408A" w:rsidP="0074408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уровня начислений связано с изменениями в действующем законодательстве по порядку начисления арендной платы </w:t>
            </w:r>
            <w:proofErr w:type="spell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недропользователям</w:t>
            </w:r>
            <w:proofErr w:type="spell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78B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(2</w:t>
            </w:r>
            <w:r w:rsidR="00C778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% от кадастровой стоимости) с 01.03.2015 года.</w:t>
            </w:r>
          </w:p>
          <w:p w:rsidR="0074408A" w:rsidRPr="00D57CD6" w:rsidRDefault="0074408A" w:rsidP="0074408A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Собираемость неналоговых платежей в 2016 году составила 78</w:t>
            </w:r>
            <w:r w:rsidR="00C778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%, </w:t>
            </w:r>
            <w:r w:rsidR="00C778B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в 2015</w:t>
            </w:r>
            <w:r w:rsidR="00C778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778B9">
              <w:rPr>
                <w:rFonts w:ascii="Times New Roman" w:hAnsi="Times New Roman" w:cs="Times New Roman"/>
                <w:sz w:val="26"/>
                <w:szCs w:val="26"/>
              </w:rPr>
              <w:t>оду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– 66</w:t>
            </w:r>
            <w:r w:rsidR="00C778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%. Недоимка по состоянию на 01.01.2016 составила 10,7 </w:t>
            </w: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="00C778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руб., по состоянию на 01.01.2017 – 6,6 млн</w:t>
            </w:r>
            <w:r w:rsidR="00C778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74408A" w:rsidRPr="00D57CD6" w:rsidRDefault="0074408A" w:rsidP="0074408A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Усовершенствован порядок взыскания платежей путем направления требований о ликвидации задолженности, направление соглашений о расторжении договоров аренды земельных участков при нарушении условий договора в части своевременной оплаты арендных платежей, взыскания задолженности через суд. В 2016 году в судебном порядке взыскано 0,5 </w:t>
            </w: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="00C778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042D20" w:rsidRPr="00D57CD6" w:rsidRDefault="00042D20" w:rsidP="00D6648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56D3" w:rsidRPr="00D57CD6" w:rsidRDefault="004916AE" w:rsidP="00D6648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57C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4.2.6. Ежегодно формирует систему показателей, характеризующих состояние экономики и социальной сферы муниципального района, на основе типовых форм, разработанных Министерством экономики Республики Хакасия</w:t>
            </w:r>
          </w:p>
          <w:p w:rsidR="000C407B" w:rsidRPr="00D57CD6" w:rsidRDefault="004916AE" w:rsidP="00D6648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7C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Сформирован и предоставлен в Министерство экономики РХ </w:t>
            </w:r>
            <w:r w:rsidR="00597A9C" w:rsidRPr="00D57C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D57C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Паспорт Усть-Абаканского</w:t>
            </w:r>
            <w:r w:rsidR="001911D4" w:rsidRPr="00D57C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района на 01.01.201</w:t>
            </w:r>
            <w:r w:rsidR="00597A9C" w:rsidRPr="00D57C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D57C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</w:t>
            </w:r>
            <w:r w:rsidR="00597A9C" w:rsidRPr="00D57C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C778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0C407B" w:rsidRPr="00D57CD6" w:rsidRDefault="004916AE" w:rsidP="00D6648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7C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Утвержден, размещен на официальном сайте Усть-Абаканского района и представлен в Министерство экономики РХ </w:t>
            </w:r>
            <w:r w:rsidR="00597A9C" w:rsidRPr="00D57C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D57C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Доклад Главы Усть-Абаканского района </w:t>
            </w:r>
            <w:r w:rsidR="00597A9C" w:rsidRPr="00D57C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D57C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достигнутых значениях показателей для оценки эффективности деятельности органов местного самоуправления</w:t>
            </w:r>
            <w:r w:rsidR="001911D4" w:rsidRPr="00D57C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Усть-Абаканского района за 201</w:t>
            </w:r>
            <w:r w:rsidR="00597A9C" w:rsidRPr="00D57C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D57C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 и </w:t>
            </w:r>
            <w:r w:rsidR="0084156B" w:rsidRPr="00D57C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их планируем</w:t>
            </w:r>
            <w:r w:rsidR="001911D4" w:rsidRPr="00D57C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ых значениях на 201</w:t>
            </w:r>
            <w:r w:rsidR="00597A9C" w:rsidRPr="00D57C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C778B9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E06D83" w:rsidRPr="00D57C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  <w:r w:rsidR="00597A9C" w:rsidRPr="00D57C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D57C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гг.</w:t>
            </w:r>
            <w:r w:rsidR="0046579B" w:rsidRPr="00D57C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D57C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97A9C" w:rsidRPr="00D57CD6" w:rsidRDefault="00597A9C" w:rsidP="00D6648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В соответствии со статьей 35 Федерального закона от 06.10.2003</w:t>
            </w:r>
            <w:r w:rsidR="00C778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№131-ФЗ «Об общих принципах организации местного самоуправления в Российской Федерации» представлен Совету депутатов Усть-Абаканского района, утвержден и размещен на </w:t>
            </w:r>
            <w:r w:rsidRPr="00D57C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официальном сайте Усть-Абаканского района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отчет Главы </w:t>
            </w:r>
            <w:r w:rsidR="00C778B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 за 2016 год.</w:t>
            </w:r>
          </w:p>
          <w:p w:rsidR="000C407B" w:rsidRPr="00D57CD6" w:rsidRDefault="000C407B" w:rsidP="00D6648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056D3" w:rsidRPr="00D57CD6" w:rsidRDefault="004916AE" w:rsidP="00D6648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7C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4.2.7. Разрабатывает программы, планы и иные документы социально-экономического развития муниципального района с учетом Стратегических приоритетов социально-экономического развития Республики Хакасия до </w:t>
            </w:r>
            <w:r w:rsidRPr="00D57C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2020 года</w:t>
            </w:r>
          </w:p>
          <w:p w:rsidR="0046579B" w:rsidRPr="00D57CD6" w:rsidRDefault="0046579B" w:rsidP="00F30CE4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Основным стратегическим документом, определяющим приоритетные направления развития муниципального образования, является Комплексная программа социально-экономического развития Усть-Абаканского района,</w:t>
            </w:r>
            <w:r w:rsidR="00F30CE4" w:rsidRPr="00D57C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утвержденная решением Совета депутатов от 24.12.2010 № 86 (с последующими изменениями),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которая включает в себя концепцию социально-экономического развития муниципального образования Усть-Абаканский район на 2011</w:t>
            </w:r>
            <w:r w:rsidR="00C778B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2020 годы, стратегические приоритеты социально-экономического развития </w:t>
            </w:r>
            <w:r w:rsidR="00C778B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 на 2011</w:t>
            </w:r>
            <w:r w:rsidR="00C778B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>2020 годы, среднесрочный и годовой планы социально-экономического развития района.</w:t>
            </w:r>
            <w:proofErr w:type="gramEnd"/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этому документу, главной стратегической целью развития района является повышение качества жизни населения муниципального образования Усть-Абаканский район через обеспечение экономического и социального развития, создание комфортных условий жизни населения, последовательное совершенствование районной среды. </w:t>
            </w:r>
            <w:r w:rsidR="006E7485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Разработан, утвержден распоряжением администрации Усть-Абаканского района от 14.11.2016 № 138-р и размещен на </w:t>
            </w:r>
            <w:r w:rsidR="006E7485" w:rsidRPr="00D57C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официальном сайте Усть-Абаканского района «Прогноз </w:t>
            </w:r>
            <w:r w:rsidR="006E7485"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социально-экономического развития Усть-Абаканского района на 2017 год и на плановый период 2018-2019 годов». </w:t>
            </w:r>
            <w:r w:rsidRPr="00D57CD6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Комплексной программы в 2016 году реализовывалось 20 муниципальных программ: в области развития сельского хозяйства, жилищно-коммунального хозяйства, развития и поддержки малого бизнеса, жилищные программы, социальные программы. </w:t>
            </w:r>
          </w:p>
          <w:p w:rsidR="000C407B" w:rsidRPr="00D57CD6" w:rsidRDefault="000C407B" w:rsidP="00D6648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07F05" w:rsidRPr="00D57CD6" w:rsidRDefault="004916AE" w:rsidP="00D6648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57C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4.2.8. Курирует разработку программ социально-экономического развития поселений, входящих в состав муниципального района</w:t>
            </w:r>
          </w:p>
          <w:p w:rsidR="000C407B" w:rsidRPr="00D57CD6" w:rsidRDefault="004916AE" w:rsidP="00D6648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 всех поселениях района действуют комплексные программы СЭР. </w:t>
            </w:r>
          </w:p>
          <w:p w:rsidR="000C407B" w:rsidRPr="00D57CD6" w:rsidRDefault="004916AE" w:rsidP="00D6648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и актуализация долгосрочных программных документов территории является необходимым механизмом государственной политики для координации действий между органами местного самоуправления, органами власти субъектов Российской Федерации, </w:t>
            </w:r>
            <w:proofErr w:type="gramStart"/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>бизнес-структурами</w:t>
            </w:r>
            <w:proofErr w:type="gramEnd"/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общественностью, для эффективного использования потенциала территорий и их социально-экономического развития. </w:t>
            </w:r>
          </w:p>
          <w:p w:rsidR="00EE45BA" w:rsidRPr="00D57CD6" w:rsidRDefault="004916AE" w:rsidP="00117B1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разработке и корректировке программ социально-экономического развития поселениям регулярно оказывается методическая и практическая помощь со стороны </w:t>
            </w:r>
            <w:proofErr w:type="spellStart"/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>УФиЭ</w:t>
            </w:r>
            <w:proofErr w:type="spellEnd"/>
            <w:r w:rsidRPr="00D57C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Усть-Абаканского района.</w:t>
            </w:r>
          </w:p>
        </w:tc>
      </w:tr>
      <w:tr w:rsidR="00810642" w:rsidRPr="0034529D" w:rsidTr="00347512">
        <w:trPr>
          <w:trHeight w:val="46"/>
        </w:trPr>
        <w:tc>
          <w:tcPr>
            <w:tcW w:w="946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10642" w:rsidRPr="0034529D" w:rsidRDefault="00810642" w:rsidP="00D6648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B621CD" w:rsidRDefault="00B621CD">
      <w:pPr>
        <w:rPr>
          <w:rFonts w:ascii="Calibri" w:eastAsia="Calibri" w:hAnsi="Calibri" w:cs="Calibri"/>
          <w:sz w:val="26"/>
        </w:rPr>
        <w:sectPr w:rsidR="00B621CD" w:rsidSect="0020025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-386" w:tblpY="577"/>
        <w:tblW w:w="271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1418"/>
        <w:gridCol w:w="1040"/>
        <w:gridCol w:w="1167"/>
        <w:gridCol w:w="982"/>
        <w:gridCol w:w="967"/>
        <w:gridCol w:w="993"/>
        <w:gridCol w:w="1215"/>
        <w:gridCol w:w="1256"/>
        <w:gridCol w:w="34"/>
        <w:gridCol w:w="11573"/>
      </w:tblGrid>
      <w:tr w:rsidR="008A4686" w:rsidRPr="004B4CCD" w:rsidTr="00FD6941">
        <w:trPr>
          <w:gridAfter w:val="1"/>
          <w:wAfter w:w="11573" w:type="dxa"/>
          <w:trHeight w:val="1019"/>
        </w:trPr>
        <w:tc>
          <w:tcPr>
            <w:tcW w:w="15593" w:type="dxa"/>
            <w:gridSpan w:val="11"/>
            <w:tcBorders>
              <w:top w:val="nil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1008A3" w:rsidRDefault="008A4686" w:rsidP="00FD6941">
            <w:pPr>
              <w:spacing w:after="0" w:line="240" w:lineRule="auto"/>
              <w:ind w:left="-8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08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Приложение </w:t>
            </w:r>
          </w:p>
          <w:p w:rsidR="008A4686" w:rsidRDefault="008A4686" w:rsidP="00FD6941">
            <w:pPr>
              <w:spacing w:after="0" w:line="240" w:lineRule="auto"/>
              <w:ind w:left="-8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4686" w:rsidRPr="004B4CCD" w:rsidRDefault="008A4686" w:rsidP="00FD6941">
            <w:pPr>
              <w:spacing w:after="0" w:line="240" w:lineRule="auto"/>
              <w:ind w:left="-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r w:rsidRPr="001008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8A4686" w:rsidRPr="001B1FED" w:rsidTr="00FD6941">
        <w:trPr>
          <w:gridAfter w:val="1"/>
          <w:wAfter w:w="11573" w:type="dxa"/>
          <w:trHeight w:val="89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1B1FED" w:rsidRDefault="008A4686" w:rsidP="00FD6941">
            <w:pPr>
              <w:spacing w:after="0" w:line="240" w:lineRule="auto"/>
              <w:ind w:left="-196" w:right="-108" w:firstLine="142"/>
              <w:jc w:val="center"/>
              <w:rPr>
                <w:rFonts w:ascii="Times New Roman" w:hAnsi="Times New Roman" w:cs="Times New Roman"/>
              </w:rPr>
            </w:pPr>
            <w:r w:rsidRPr="001B1FED">
              <w:rPr>
                <w:rFonts w:ascii="Times New Roman" w:eastAsia="Times New Roman" w:hAnsi="Times New Roman" w:cs="Times New Roman"/>
                <w:color w:val="000000"/>
              </w:rPr>
              <w:t>Наименование программы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1B1FED" w:rsidRDefault="008A4686" w:rsidP="00FD69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1B1FED">
              <w:rPr>
                <w:rFonts w:ascii="Times New Roman" w:eastAsia="Times New Roman" w:hAnsi="Times New Roman" w:cs="Times New Roman"/>
                <w:color w:val="000000"/>
              </w:rPr>
              <w:t>№ и дата соглашения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1B1FED" w:rsidRDefault="008A4686" w:rsidP="00FD6941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FE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8A4686" w:rsidRPr="001B1FE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1FED">
              <w:rPr>
                <w:rFonts w:ascii="Times New Roman" w:eastAsia="Times New Roman" w:hAnsi="Times New Roman" w:cs="Times New Roman"/>
                <w:color w:val="000000"/>
              </w:rPr>
              <w:t>Софинанси-рования</w:t>
            </w:r>
            <w:proofErr w:type="spellEnd"/>
            <w:r w:rsidRPr="001B1FED">
              <w:rPr>
                <w:rFonts w:ascii="Times New Roman" w:eastAsia="Times New Roman" w:hAnsi="Times New Roman" w:cs="Times New Roman"/>
                <w:color w:val="000000"/>
              </w:rPr>
              <w:t xml:space="preserve"> по    соглашению</w:t>
            </w:r>
          </w:p>
        </w:tc>
        <w:tc>
          <w:tcPr>
            <w:tcW w:w="2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1B1FED" w:rsidRDefault="008A4686" w:rsidP="00FD69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FED">
              <w:rPr>
                <w:rFonts w:ascii="Times New Roman" w:eastAsia="Times New Roman" w:hAnsi="Times New Roman" w:cs="Times New Roman"/>
                <w:color w:val="000000"/>
              </w:rPr>
              <w:t>Плановые расходы</w:t>
            </w:r>
          </w:p>
          <w:p w:rsidR="008A4686" w:rsidRPr="001B1FED" w:rsidRDefault="008A4686" w:rsidP="00FD69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FED">
              <w:rPr>
                <w:rFonts w:ascii="Times New Roman" w:eastAsia="Times New Roman" w:hAnsi="Times New Roman" w:cs="Times New Roman"/>
                <w:color w:val="000000"/>
              </w:rPr>
              <w:t>федерального и</w:t>
            </w:r>
          </w:p>
          <w:p w:rsidR="008A4686" w:rsidRPr="001B1FED" w:rsidRDefault="008A4686" w:rsidP="00FD69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FED">
              <w:rPr>
                <w:rFonts w:ascii="Times New Roman" w:eastAsia="Times New Roman" w:hAnsi="Times New Roman" w:cs="Times New Roman"/>
                <w:color w:val="000000"/>
              </w:rPr>
              <w:t>республиканского</w:t>
            </w:r>
          </w:p>
          <w:p w:rsidR="008A4686" w:rsidRPr="001B1FED" w:rsidRDefault="008A4686" w:rsidP="00FD6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B1FED">
              <w:rPr>
                <w:rFonts w:ascii="Times New Roman" w:eastAsia="Times New Roman" w:hAnsi="Times New Roman" w:cs="Times New Roman"/>
                <w:color w:val="000000"/>
              </w:rPr>
              <w:t>бюджетов</w:t>
            </w:r>
          </w:p>
        </w:tc>
        <w:tc>
          <w:tcPr>
            <w:tcW w:w="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1B1FED" w:rsidRDefault="008A4686" w:rsidP="00FD69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FED">
              <w:rPr>
                <w:rFonts w:ascii="Times New Roman" w:eastAsia="Times New Roman" w:hAnsi="Times New Roman" w:cs="Times New Roman"/>
                <w:color w:val="000000"/>
              </w:rPr>
              <w:t>План.</w:t>
            </w:r>
          </w:p>
          <w:p w:rsidR="008A4686" w:rsidRPr="001B1FED" w:rsidRDefault="008A4686" w:rsidP="00FD6941">
            <w:pPr>
              <w:spacing w:after="0" w:line="240" w:lineRule="auto"/>
              <w:ind w:left="-1100" w:right="-108" w:firstLine="9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FED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  <w:p w:rsidR="008A4686" w:rsidRPr="001B1FED" w:rsidRDefault="008A4686" w:rsidP="00FD6941">
            <w:pPr>
              <w:spacing w:after="0" w:line="240" w:lineRule="auto"/>
              <w:ind w:left="-1100" w:right="-108" w:firstLine="9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FED">
              <w:rPr>
                <w:rFonts w:ascii="Times New Roman" w:eastAsia="Times New Roman" w:hAnsi="Times New Roman" w:cs="Times New Roman"/>
                <w:color w:val="000000"/>
              </w:rPr>
              <w:t>Местного</w:t>
            </w:r>
          </w:p>
          <w:p w:rsidR="008A4686" w:rsidRPr="001B1FED" w:rsidRDefault="008A4686" w:rsidP="00FD6941">
            <w:pPr>
              <w:spacing w:after="0" w:line="240" w:lineRule="auto"/>
              <w:ind w:left="-1100" w:right="-108" w:firstLine="9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FED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1B1FED" w:rsidRDefault="008A4686" w:rsidP="00FD69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FED">
              <w:rPr>
                <w:rFonts w:ascii="Times New Roman" w:eastAsia="Times New Roman" w:hAnsi="Times New Roman" w:cs="Times New Roman"/>
                <w:color w:val="000000"/>
              </w:rPr>
              <w:t xml:space="preserve">Кассовые расходы   </w:t>
            </w:r>
            <w:proofErr w:type="gramStart"/>
            <w:r w:rsidRPr="001B1FED">
              <w:rPr>
                <w:rFonts w:ascii="Times New Roman" w:eastAsia="Times New Roman" w:hAnsi="Times New Roman" w:cs="Times New Roman"/>
                <w:color w:val="000000"/>
              </w:rPr>
              <w:t>федерального</w:t>
            </w:r>
            <w:proofErr w:type="gramEnd"/>
            <w:r w:rsidRPr="001B1FED">
              <w:rPr>
                <w:rFonts w:ascii="Times New Roman" w:eastAsia="Times New Roman" w:hAnsi="Times New Roman" w:cs="Times New Roman"/>
                <w:color w:val="000000"/>
              </w:rPr>
              <w:t xml:space="preserve"> и республиканского</w:t>
            </w:r>
          </w:p>
          <w:p w:rsidR="008A4686" w:rsidRPr="001B1FED" w:rsidRDefault="008A4686" w:rsidP="00FD6941">
            <w:pPr>
              <w:tabs>
                <w:tab w:val="left" w:pos="703"/>
              </w:tabs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</w:rPr>
            </w:pPr>
            <w:r w:rsidRPr="001B1FED">
              <w:rPr>
                <w:rFonts w:ascii="Times New Roman" w:eastAsia="Times New Roman" w:hAnsi="Times New Roman" w:cs="Times New Roman"/>
                <w:color w:val="000000"/>
              </w:rPr>
              <w:t>бюджетов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1B1FED" w:rsidRDefault="008A4686" w:rsidP="00FD6941">
            <w:pPr>
              <w:spacing w:after="0" w:line="240" w:lineRule="auto"/>
              <w:ind w:left="-69" w:hanging="42"/>
              <w:jc w:val="center"/>
              <w:rPr>
                <w:rFonts w:ascii="Times New Roman" w:hAnsi="Times New Roman" w:cs="Times New Roman"/>
              </w:rPr>
            </w:pPr>
            <w:r w:rsidRPr="001B1FED">
              <w:rPr>
                <w:rFonts w:ascii="Times New Roman" w:eastAsia="Times New Roman" w:hAnsi="Times New Roman" w:cs="Times New Roman"/>
                <w:color w:val="000000"/>
              </w:rPr>
              <w:t>Кассовые расходы Местного Бюджета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1B1FED" w:rsidRDefault="008A4686" w:rsidP="00FD6941">
            <w:pPr>
              <w:tabs>
                <w:tab w:val="left" w:pos="7384"/>
                <w:tab w:val="left" w:pos="8662"/>
              </w:tabs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FE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8A4686" w:rsidRPr="001B1FED" w:rsidRDefault="008A4686" w:rsidP="00FD6941">
            <w:pPr>
              <w:tabs>
                <w:tab w:val="left" w:pos="7384"/>
                <w:tab w:val="left" w:pos="8662"/>
              </w:tabs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1FED">
              <w:rPr>
                <w:rFonts w:ascii="Times New Roman" w:eastAsia="Times New Roman" w:hAnsi="Times New Roman" w:cs="Times New Roman"/>
                <w:color w:val="000000"/>
              </w:rPr>
              <w:t>Софинанси-рования</w:t>
            </w:r>
            <w:proofErr w:type="spellEnd"/>
          </w:p>
          <w:p w:rsidR="008A4686" w:rsidRPr="001B1FED" w:rsidRDefault="008A4686" w:rsidP="00FD6941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1B1FED">
              <w:rPr>
                <w:rFonts w:ascii="Times New Roman" w:eastAsia="Times New Roman" w:hAnsi="Times New Roman" w:cs="Times New Roman"/>
                <w:color w:val="000000"/>
              </w:rPr>
              <w:t>по факту</w:t>
            </w:r>
          </w:p>
        </w:tc>
      </w:tr>
      <w:tr w:rsidR="008A4686" w:rsidRPr="004B4CCD" w:rsidTr="00FD6941">
        <w:trPr>
          <w:gridAfter w:val="1"/>
          <w:wAfter w:w="11573" w:type="dxa"/>
          <w:trHeight w:val="31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ind w:left="-196" w:right="-108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1B1FED" w:rsidRDefault="008A4686" w:rsidP="00FD69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FED">
              <w:rPr>
                <w:rFonts w:ascii="Times New Roman" w:eastAsia="Times New Roman" w:hAnsi="Times New Roman" w:cs="Times New Roman"/>
                <w:color w:val="000000"/>
              </w:rPr>
              <w:t>РХ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1B1FED" w:rsidRDefault="008A4686" w:rsidP="00FD69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FED">
              <w:rPr>
                <w:rFonts w:ascii="Times New Roman" w:eastAsia="Times New Roman" w:hAnsi="Times New Roman" w:cs="Times New Roman"/>
                <w:color w:val="000000"/>
              </w:rPr>
              <w:t>РФ</w:t>
            </w: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1B1FED" w:rsidRDefault="008A4686" w:rsidP="00FD69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1B1FED" w:rsidRDefault="008A4686" w:rsidP="00FD69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FED">
              <w:rPr>
                <w:rFonts w:ascii="Times New Roman" w:eastAsia="Times New Roman" w:hAnsi="Times New Roman" w:cs="Times New Roman"/>
                <w:color w:val="000000"/>
              </w:rPr>
              <w:t>РХ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1B1FED" w:rsidRDefault="008A4686" w:rsidP="00FD6941">
            <w:pPr>
              <w:spacing w:after="0" w:line="240" w:lineRule="auto"/>
              <w:ind w:left="-69" w:right="-108" w:hanging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FED">
              <w:rPr>
                <w:rFonts w:ascii="Times New Roman" w:eastAsia="Times New Roman" w:hAnsi="Times New Roman" w:cs="Times New Roman"/>
                <w:color w:val="000000"/>
              </w:rPr>
              <w:t>РФ</w:t>
            </w: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ind w:left="-69" w:hanging="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tabs>
                <w:tab w:val="left" w:pos="7384"/>
                <w:tab w:val="left" w:pos="8662"/>
              </w:tabs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A4686" w:rsidRPr="004B4CCD" w:rsidTr="00FD6941">
        <w:trPr>
          <w:gridAfter w:val="1"/>
          <w:wAfter w:w="11573" w:type="dxa"/>
          <w:trHeight w:val="12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ГПРХ «Развитие транспортной системы Респу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блики Хакасия (2014-2016 годы)»</w:t>
            </w:r>
          </w:p>
          <w:p w:rsidR="008A4686" w:rsidRPr="004B4CCD" w:rsidRDefault="008A4686" w:rsidP="00FD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«Дорожное хозяйство»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Соглашение № 52-16 от 24.03.2016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6 549,0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3 000,0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4686" w:rsidRPr="004B4CCD" w:rsidTr="00FD6941">
        <w:trPr>
          <w:gridAfter w:val="1"/>
          <w:wAfter w:w="11573" w:type="dxa"/>
          <w:trHeight w:val="127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Соглашение № 60-16 от 28.03.2016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15 108,0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5 000,0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8A4686" w:rsidRPr="004B4CCD" w:rsidTr="00FD6941">
        <w:trPr>
          <w:gridAfter w:val="1"/>
          <w:wAfter w:w="11573" w:type="dxa"/>
          <w:trHeight w:val="470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Соглашение № 78-16 от 23.05.2016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15 005,5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ind w:left="-69" w:right="-108" w:hanging="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14 948,7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A4686" w:rsidRPr="004B4CCD" w:rsidTr="00FD6941">
        <w:trPr>
          <w:gridAfter w:val="1"/>
          <w:wAfter w:w="11573" w:type="dxa"/>
          <w:trHeight w:val="227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№ 119-16 от 16.08.2016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5 000,0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ind w:left="-69" w:right="-108" w:hanging="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ind w:left="-69" w:right="-108" w:hanging="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4686" w:rsidRPr="004B4CCD" w:rsidTr="00FD6941">
        <w:trPr>
          <w:gridAfter w:val="1"/>
          <w:wAfter w:w="11573" w:type="dxa"/>
          <w:trHeight w:val="66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ГПРХ «Сохранение и развитие малых и отдаленных сел Республики Хакасия (2016 - 2018 годы)» </w:t>
            </w:r>
          </w:p>
          <w:p w:rsidR="008A4686" w:rsidRPr="004B4CCD" w:rsidRDefault="008A4686" w:rsidP="00FD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Pr="004B4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потребительской кооперации в Республике Хакасия</w:t>
            </w:r>
            <w:r w:rsidRPr="004B4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Дополнительное соглашение № 2 от 30.05.2016 года </w:t>
            </w:r>
            <w:proofErr w:type="gramStart"/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Соглашение № 050-7/1-с от 09.11.2015 года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A4686" w:rsidRPr="004B4CCD" w:rsidTr="00FD6941">
        <w:trPr>
          <w:gridAfter w:val="1"/>
          <w:wAfter w:w="11573" w:type="dxa"/>
          <w:trHeight w:val="428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№ 050-7/1-с от 22.07.2016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A4686" w:rsidRPr="004B4CCD" w:rsidTr="00FD6941">
        <w:trPr>
          <w:gridAfter w:val="1"/>
          <w:wAfter w:w="11573" w:type="dxa"/>
          <w:trHeight w:val="57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ГПРХ «Сохранение и развитие малых и отдаленных сел Республики Хакасия (2016 - 2018 годы)» </w:t>
            </w:r>
          </w:p>
          <w:p w:rsidR="008A4686" w:rsidRPr="004B4CCD" w:rsidRDefault="008A4686" w:rsidP="00FD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Pr="004B4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развитие малых и отдаленных сел</w:t>
            </w:r>
            <w:r w:rsidRPr="004B4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соглашение № 2 от 15.02.2016 года к Соглашению 050-9-д от 28.04.2015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A4686" w:rsidRPr="004B4CCD" w:rsidTr="00FD6941">
        <w:trPr>
          <w:gridAfter w:val="1"/>
          <w:wAfter w:w="11573" w:type="dxa"/>
          <w:trHeight w:val="262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соглашение № 1 от 15.02.2016 года к Соглашению 050-13-д от 28.04.2015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A4686" w:rsidRPr="004B4CCD" w:rsidTr="00FD6941">
        <w:trPr>
          <w:gridAfter w:val="1"/>
          <w:wAfter w:w="11573" w:type="dxa"/>
          <w:trHeight w:val="288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соглашение № 1 от 15.02.2016 года к Соглашению 050-17-д от 07.08.2015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1 328,0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A4686" w:rsidRPr="004B4CCD" w:rsidTr="00FD6941">
        <w:trPr>
          <w:gridAfter w:val="1"/>
          <w:wAfter w:w="11573" w:type="dxa"/>
          <w:trHeight w:val="28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№ 050-7-д от 11.05.2016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1 086,7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A4686" w:rsidRPr="004B4CCD" w:rsidTr="00FD6941">
        <w:trPr>
          <w:gridAfter w:val="1"/>
          <w:wAfter w:w="11573" w:type="dxa"/>
          <w:trHeight w:val="66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ГПРХ</w:t>
            </w: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4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«Развитие образования в Республике Хакасия (2011-2015 годы)</w:t>
            </w: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8A4686" w:rsidRPr="004B4CCD" w:rsidRDefault="008A4686" w:rsidP="00FD6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№ 90 от 22.02.2016 года к Соглашению № 3 от 12.02.2015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A4686" w:rsidRPr="004B4CCD" w:rsidTr="00FD6941">
        <w:trPr>
          <w:gridAfter w:val="1"/>
          <w:wAfter w:w="11573" w:type="dxa"/>
          <w:trHeight w:val="189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№ 1 от 29.02.2016 года к Соглашению № Р-2/2014 30  от 13.04.2015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2 256,4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1 650,8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A4686" w:rsidRPr="004B4CCD" w:rsidTr="00FD6941">
        <w:trPr>
          <w:gridAfter w:val="1"/>
          <w:wAfter w:w="11573" w:type="dxa"/>
          <w:trHeight w:val="47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ГПРХ «Развитие образования в Республике Хакасия (2016-2020 годы) 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Соглашение № 74 от 11.02.2016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ind w:left="-108" w:right="-13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ind w:left="-108" w:right="-13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>662,5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ind w:left="-101" w:right="-11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ind w:left="-108" w:right="-13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>662,5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ind w:left="-101" w:right="-11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A4686" w:rsidRPr="004B4CCD" w:rsidTr="00FD6941">
        <w:trPr>
          <w:gridAfter w:val="1"/>
          <w:wAfter w:w="11573" w:type="dxa"/>
          <w:trHeight w:val="81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Соглашение № 116 от 19.07.2016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ind w:left="-108" w:right="-13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ind w:left="-108" w:right="-13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>286,0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ind w:left="-101" w:right="-11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>1 719,0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>286,0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>1 719,0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>21,2</w:t>
            </w:r>
          </w:p>
        </w:tc>
      </w:tr>
      <w:tr w:rsidR="008A4686" w:rsidRPr="004B4CCD" w:rsidTr="00FD6941">
        <w:trPr>
          <w:gridAfter w:val="1"/>
          <w:wAfter w:w="11573" w:type="dxa"/>
          <w:trHeight w:val="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ind w:hanging="54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«Школьное питание»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Соглашение № 63 от 26.01.2016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ind w:left="-108" w:right="-13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ind w:left="-108" w:right="-13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>3 224,0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1 865,0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>2 572,3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>1 601,9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36,6</w:t>
            </w:r>
          </w:p>
        </w:tc>
      </w:tr>
      <w:tr w:rsidR="008A4686" w:rsidRPr="004B4CCD" w:rsidTr="00FD6941">
        <w:trPr>
          <w:gridAfter w:val="1"/>
          <w:wAfter w:w="11573" w:type="dxa"/>
          <w:trHeight w:val="559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ГПРХ «Развитие агропромышленного комплекса Республики Хакасия и социальной сферы на селе на 2013-2020 годы»</w:t>
            </w:r>
          </w:p>
          <w:p w:rsidR="008A4686" w:rsidRPr="004B4CCD" w:rsidRDefault="008A4686" w:rsidP="00FD6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«Устойчивое развитие сельских территорий»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Дополнительное соглашение № 1 от 22.07.2016 года к Соглашению от 04.04.2016 года № 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6 282,6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3 257,6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1 492,2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6 282,6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3 257,5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1 492,2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B4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13,5</w:t>
            </w:r>
          </w:p>
        </w:tc>
      </w:tr>
      <w:tr w:rsidR="008A4686" w:rsidRPr="004B4CCD" w:rsidTr="00FD6941">
        <w:trPr>
          <w:gridAfter w:val="1"/>
          <w:wAfter w:w="11573" w:type="dxa"/>
          <w:trHeight w:val="244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ГПРХ «Жилище (2011-2015 годы)</w:t>
            </w:r>
          </w:p>
          <w:p w:rsidR="008A4686" w:rsidRPr="004B4CCD" w:rsidRDefault="008A4686" w:rsidP="00FD6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«Обеспечение жильем молодых семей»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Соглашение № 130 от 18.09.2015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434,4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ind w:lef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256,1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367,4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ind w:lef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413,0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216,5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21,7</w:t>
            </w:r>
          </w:p>
        </w:tc>
      </w:tr>
      <w:tr w:rsidR="008A4686" w:rsidRPr="004B4CCD" w:rsidTr="00FD6941">
        <w:trPr>
          <w:gridAfter w:val="1"/>
          <w:wAfter w:w="11573" w:type="dxa"/>
          <w:trHeight w:val="244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ГПРХ «Жилище (2016 - 2020 годы)</w:t>
            </w:r>
          </w:p>
          <w:p w:rsidR="008A4686" w:rsidRPr="004B4CCD" w:rsidRDefault="008A4686" w:rsidP="00FD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Программа «Обеспечение жильем молодых семей»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Соглашение № 152 от 19.04.2016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275,5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ind w:lef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330,6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256,1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190,7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ind w:lef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228,9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177,4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>29,7</w:t>
            </w:r>
          </w:p>
        </w:tc>
      </w:tr>
      <w:tr w:rsidR="008A4686" w:rsidRPr="004B4CCD" w:rsidTr="00FD6941">
        <w:trPr>
          <w:gridAfter w:val="1"/>
          <w:wAfter w:w="11573" w:type="dxa"/>
          <w:trHeight w:val="87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Default="008A4686" w:rsidP="00FD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ГПРХ «Экономическое развитие и повышение инвестиционной привлекательности Республики Хакасия (2014 – 2016 годы)</w:t>
            </w:r>
          </w:p>
          <w:p w:rsidR="008A4686" w:rsidRDefault="008A4686" w:rsidP="00FD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 w:rsidRPr="004B4C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«Развитие субъектов</w:t>
            </w:r>
          </w:p>
          <w:p w:rsidR="008A4686" w:rsidRPr="004B4CCD" w:rsidRDefault="008A4686" w:rsidP="00FD6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малого и среднего предпринимательства в Республике Хакасия на 2014-2016 годы»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№ 2 от 31.12.2015 года к Соглашению № 050-3-МО от 21.10.2015 года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A4686" w:rsidRPr="004B4CCD" w:rsidTr="00FD6941">
        <w:trPr>
          <w:gridAfter w:val="1"/>
          <w:wAfter w:w="11573" w:type="dxa"/>
          <w:trHeight w:val="539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№ 2 от 16.12.2016 года к Соглашению № 050-12-МО от 26.09.2016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210,6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1 384,9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1 384,9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>300,1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7,8</w:t>
            </w:r>
          </w:p>
        </w:tc>
      </w:tr>
      <w:tr w:rsidR="008A4686" w:rsidRPr="004B4CCD" w:rsidTr="00FD6941">
        <w:trPr>
          <w:gridAfter w:val="1"/>
          <w:wAfter w:w="11573" w:type="dxa"/>
          <w:trHeight w:val="92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ГПРХ</w:t>
            </w: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4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«Энергосбережение и повышение </w:t>
            </w:r>
            <w:proofErr w:type="spellStart"/>
            <w:r w:rsidRPr="004B4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4B4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Республике Хакасия на 2013-2015 годы и перспективу до 2020 года»</w:t>
            </w:r>
          </w:p>
          <w:p w:rsidR="008A4686" w:rsidRPr="004B4CCD" w:rsidRDefault="008A4686" w:rsidP="00FD6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№ 1 от 15.08.2016 года к Соглашению № 11-16 от 29.04.2016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2 068,7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>308,4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A4686" w:rsidRPr="004B4CCD" w:rsidTr="00FD6941">
        <w:trPr>
          <w:gridAfter w:val="1"/>
          <w:wAfter w:w="11573" w:type="dxa"/>
          <w:trHeight w:val="173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Соглашение № 170 от 02.11.2016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A4686" w:rsidRPr="004B4CCD" w:rsidTr="00FD6941">
        <w:trPr>
          <w:gridAfter w:val="1"/>
          <w:wAfter w:w="11573" w:type="dxa"/>
          <w:trHeight w:val="173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№ 2 от 03.10.2016 года к Соглашению № 143 от 25.03.2016 года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4 989,0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>827,0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A4686" w:rsidRPr="004B4CCD" w:rsidTr="00FD6941">
        <w:trPr>
          <w:gridAfter w:val="1"/>
          <w:wAfter w:w="11573" w:type="dxa"/>
          <w:trHeight w:val="55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ГПРХ «Культура Республики Хакасия (2013-2015 годы)» </w:t>
            </w:r>
          </w:p>
          <w:p w:rsidR="008A4686" w:rsidRPr="004B4CCD" w:rsidRDefault="008A4686" w:rsidP="00FD6941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культурного потенциала Республики Хакасия»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Соглашение № 110-6-д от 25.04.2016 года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A4686" w:rsidRPr="004B4CCD" w:rsidTr="00FD6941">
        <w:trPr>
          <w:gridAfter w:val="1"/>
          <w:wAfter w:w="11573" w:type="dxa"/>
          <w:trHeight w:val="501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Соглашение № 110-13-д от 20.06.2016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142,9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142,9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</w:tr>
      <w:tr w:rsidR="008A4686" w:rsidRPr="004B4CCD" w:rsidTr="00FD6941">
        <w:trPr>
          <w:gridAfter w:val="1"/>
          <w:wAfter w:w="11573" w:type="dxa"/>
          <w:trHeight w:val="173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«Развитие и модернизация библиотечного дела»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Соглашение № 110-28-д от 06.07.2016 года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A4686" w:rsidRPr="004B4CCD" w:rsidTr="00FD6941">
        <w:trPr>
          <w:gridAfter w:val="1"/>
          <w:wAfter w:w="11573" w:type="dxa"/>
          <w:trHeight w:val="173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4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РАП «Переселение граждан из аварийного жилищного фонда, в том числе с учетом необходимости развития малоэтажного жилищного строительства, на территории Республики Хакасия в 2013 – 2017 годах»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№1 от 23.12.2016 года к Соглашению № 143 от 20.01.2016 года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ind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88 576,2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hAnsi="Times New Roman" w:cs="Times New Roman"/>
                <w:sz w:val="20"/>
                <w:szCs w:val="20"/>
              </w:rPr>
              <w:t>4 900,4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>53 436,4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>1 470,6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4686" w:rsidRPr="004B4CCD" w:rsidRDefault="008A4686" w:rsidP="00FD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2,7</w:t>
            </w:r>
          </w:p>
        </w:tc>
      </w:tr>
      <w:tr w:rsidR="008A4686" w:rsidRPr="004B4CCD" w:rsidTr="008A4686">
        <w:trPr>
          <w:trHeight w:val="967"/>
        </w:trPr>
        <w:tc>
          <w:tcPr>
            <w:tcW w:w="15559" w:type="dxa"/>
            <w:gridSpan w:val="10"/>
            <w:tcBorders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ind w:right="-7621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Примечание:</w:t>
            </w:r>
          </w:p>
          <w:p w:rsidR="008A4686" w:rsidRPr="004B4CCD" w:rsidRDefault="008A4686" w:rsidP="00FD6941">
            <w:pPr>
              <w:spacing w:after="0" w:line="240" w:lineRule="auto"/>
              <w:ind w:right="-7621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1) Согласно условиям соглашений были предусмотрены несколько мероприятий с разными уровнями </w:t>
            </w:r>
            <w:proofErr w:type="spellStart"/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A4686" w:rsidRPr="004B4CCD" w:rsidRDefault="008A4686" w:rsidP="00FD6941">
            <w:pPr>
              <w:tabs>
                <w:tab w:val="left" w:pos="14601"/>
              </w:tabs>
              <w:spacing w:after="0" w:line="240" w:lineRule="auto"/>
              <w:ind w:right="-7621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2) т.к. профинансированы из уровней местного и республиканского бюджетов все мероприятия, то по отдельным мероприятиям, по которым прошли кассовые расходы  процент </w:t>
            </w:r>
            <w:proofErr w:type="spellStart"/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был соблюден, а в целом он меньше среднего процента </w:t>
            </w:r>
            <w:proofErr w:type="spellStart"/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4B4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соглашению.</w:t>
            </w:r>
          </w:p>
        </w:tc>
        <w:tc>
          <w:tcPr>
            <w:tcW w:w="11607" w:type="dxa"/>
            <w:gridSpan w:val="2"/>
            <w:tcBorders>
              <w:lef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686" w:rsidRPr="004B4CCD" w:rsidRDefault="008A4686" w:rsidP="00FD6941">
            <w:pPr>
              <w:spacing w:after="0" w:line="240" w:lineRule="auto"/>
              <w:ind w:right="-7621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21CD" w:rsidRDefault="00B621CD">
      <w:pPr>
        <w:rPr>
          <w:rFonts w:ascii="Calibri" w:eastAsia="Calibri" w:hAnsi="Calibri" w:cs="Calibri"/>
          <w:sz w:val="26"/>
        </w:rPr>
      </w:pPr>
    </w:p>
    <w:p w:rsidR="0056153C" w:rsidRDefault="0056153C">
      <w:pPr>
        <w:rPr>
          <w:rFonts w:ascii="Calibri" w:eastAsia="Calibri" w:hAnsi="Calibri" w:cs="Calibri"/>
          <w:sz w:val="26"/>
        </w:rPr>
      </w:pPr>
    </w:p>
    <w:p w:rsidR="00D43BF5" w:rsidRPr="00536E0B" w:rsidRDefault="00D43BF5" w:rsidP="00D43BF5">
      <w:pPr>
        <w:spacing w:after="0"/>
        <w:jc w:val="both"/>
        <w:rPr>
          <w:rFonts w:ascii="Calibri" w:eastAsia="Calibri" w:hAnsi="Calibri" w:cs="Calibri"/>
          <w:sz w:val="26"/>
        </w:rPr>
      </w:pPr>
    </w:p>
    <w:sectPr w:rsidR="00D43BF5" w:rsidRPr="00536E0B" w:rsidSect="00B621CD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1BB1"/>
    <w:multiLevelType w:val="hybridMultilevel"/>
    <w:tmpl w:val="33746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13C3F"/>
    <w:multiLevelType w:val="multilevel"/>
    <w:tmpl w:val="DB002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5727D9"/>
    <w:multiLevelType w:val="multilevel"/>
    <w:tmpl w:val="C98CB1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B86B3F"/>
    <w:multiLevelType w:val="hybridMultilevel"/>
    <w:tmpl w:val="E16CA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BD742A"/>
    <w:multiLevelType w:val="hybridMultilevel"/>
    <w:tmpl w:val="5A248BCE"/>
    <w:lvl w:ilvl="0" w:tplc="0A50E8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10308"/>
    <w:multiLevelType w:val="hybridMultilevel"/>
    <w:tmpl w:val="5178F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0051D9"/>
    <w:multiLevelType w:val="hybridMultilevel"/>
    <w:tmpl w:val="CF06B910"/>
    <w:lvl w:ilvl="0" w:tplc="E5301F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BD6F8C"/>
    <w:multiLevelType w:val="multilevel"/>
    <w:tmpl w:val="58DA2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C46622"/>
    <w:multiLevelType w:val="hybridMultilevel"/>
    <w:tmpl w:val="BFF48D40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7B"/>
    <w:rsid w:val="000006AE"/>
    <w:rsid w:val="000024A3"/>
    <w:rsid w:val="00005863"/>
    <w:rsid w:val="00005D42"/>
    <w:rsid w:val="00005DBE"/>
    <w:rsid w:val="000065FB"/>
    <w:rsid w:val="0000735B"/>
    <w:rsid w:val="00007B7B"/>
    <w:rsid w:val="00015AC3"/>
    <w:rsid w:val="0002462B"/>
    <w:rsid w:val="0002568A"/>
    <w:rsid w:val="00037635"/>
    <w:rsid w:val="00040B19"/>
    <w:rsid w:val="000415C8"/>
    <w:rsid w:val="00041D06"/>
    <w:rsid w:val="00042D20"/>
    <w:rsid w:val="000431CC"/>
    <w:rsid w:val="00043F35"/>
    <w:rsid w:val="00046EBF"/>
    <w:rsid w:val="00051509"/>
    <w:rsid w:val="00062391"/>
    <w:rsid w:val="000800CF"/>
    <w:rsid w:val="00080CC6"/>
    <w:rsid w:val="00082FE9"/>
    <w:rsid w:val="00084AEF"/>
    <w:rsid w:val="00084AFE"/>
    <w:rsid w:val="0008545D"/>
    <w:rsid w:val="00092863"/>
    <w:rsid w:val="00096759"/>
    <w:rsid w:val="000A3142"/>
    <w:rsid w:val="000A3FC9"/>
    <w:rsid w:val="000A6898"/>
    <w:rsid w:val="000A7614"/>
    <w:rsid w:val="000B1831"/>
    <w:rsid w:val="000B2C23"/>
    <w:rsid w:val="000B4C57"/>
    <w:rsid w:val="000B7C7F"/>
    <w:rsid w:val="000C407B"/>
    <w:rsid w:val="000C7E05"/>
    <w:rsid w:val="000D0C3B"/>
    <w:rsid w:val="000D121B"/>
    <w:rsid w:val="000D6718"/>
    <w:rsid w:val="000E3A96"/>
    <w:rsid w:val="000E75EC"/>
    <w:rsid w:val="001031D7"/>
    <w:rsid w:val="00103201"/>
    <w:rsid w:val="00104870"/>
    <w:rsid w:val="001128B0"/>
    <w:rsid w:val="00116478"/>
    <w:rsid w:val="001176BD"/>
    <w:rsid w:val="00117B1D"/>
    <w:rsid w:val="00141749"/>
    <w:rsid w:val="00142E88"/>
    <w:rsid w:val="00157E1C"/>
    <w:rsid w:val="00160C10"/>
    <w:rsid w:val="00164A5F"/>
    <w:rsid w:val="0017166C"/>
    <w:rsid w:val="00173589"/>
    <w:rsid w:val="00175560"/>
    <w:rsid w:val="0017653D"/>
    <w:rsid w:val="001779F5"/>
    <w:rsid w:val="00180CE2"/>
    <w:rsid w:val="00180D00"/>
    <w:rsid w:val="00182112"/>
    <w:rsid w:val="00185603"/>
    <w:rsid w:val="001857CB"/>
    <w:rsid w:val="001857D6"/>
    <w:rsid w:val="001911D4"/>
    <w:rsid w:val="0019164E"/>
    <w:rsid w:val="001A2A23"/>
    <w:rsid w:val="001A5A4D"/>
    <w:rsid w:val="001A6A78"/>
    <w:rsid w:val="001B36A6"/>
    <w:rsid w:val="001B37F0"/>
    <w:rsid w:val="001B6480"/>
    <w:rsid w:val="001B68C8"/>
    <w:rsid w:val="001B7899"/>
    <w:rsid w:val="001C2A3D"/>
    <w:rsid w:val="001C31EC"/>
    <w:rsid w:val="001C420B"/>
    <w:rsid w:val="001D01C7"/>
    <w:rsid w:val="001D2074"/>
    <w:rsid w:val="001D230E"/>
    <w:rsid w:val="001D3553"/>
    <w:rsid w:val="001E3321"/>
    <w:rsid w:val="001E7BE9"/>
    <w:rsid w:val="001F11E7"/>
    <w:rsid w:val="001F4DA3"/>
    <w:rsid w:val="001F7580"/>
    <w:rsid w:val="001F7F3B"/>
    <w:rsid w:val="00200256"/>
    <w:rsid w:val="00202302"/>
    <w:rsid w:val="0020301D"/>
    <w:rsid w:val="00204CE3"/>
    <w:rsid w:val="002070F7"/>
    <w:rsid w:val="0021520A"/>
    <w:rsid w:val="0021539A"/>
    <w:rsid w:val="00221AFB"/>
    <w:rsid w:val="00221B56"/>
    <w:rsid w:val="00222936"/>
    <w:rsid w:val="00233EA0"/>
    <w:rsid w:val="002365A0"/>
    <w:rsid w:val="002365F7"/>
    <w:rsid w:val="00237D85"/>
    <w:rsid w:val="0024577F"/>
    <w:rsid w:val="002501DC"/>
    <w:rsid w:val="00250EAD"/>
    <w:rsid w:val="002615C5"/>
    <w:rsid w:val="00261E2F"/>
    <w:rsid w:val="00263841"/>
    <w:rsid w:val="002717A3"/>
    <w:rsid w:val="002751C1"/>
    <w:rsid w:val="00284676"/>
    <w:rsid w:val="002848EB"/>
    <w:rsid w:val="00286569"/>
    <w:rsid w:val="00286D40"/>
    <w:rsid w:val="002930D7"/>
    <w:rsid w:val="002A0D3B"/>
    <w:rsid w:val="002A18B5"/>
    <w:rsid w:val="002A373E"/>
    <w:rsid w:val="002B0084"/>
    <w:rsid w:val="002B0F39"/>
    <w:rsid w:val="002B440D"/>
    <w:rsid w:val="002B47C1"/>
    <w:rsid w:val="002B6AB6"/>
    <w:rsid w:val="002C0205"/>
    <w:rsid w:val="002C3AD5"/>
    <w:rsid w:val="002C7441"/>
    <w:rsid w:val="002C7E42"/>
    <w:rsid w:val="002C7F96"/>
    <w:rsid w:val="002D074C"/>
    <w:rsid w:val="002D1A9A"/>
    <w:rsid w:val="002D4ECB"/>
    <w:rsid w:val="002D6C7A"/>
    <w:rsid w:val="002E1A5A"/>
    <w:rsid w:val="002E1AFF"/>
    <w:rsid w:val="002E438E"/>
    <w:rsid w:val="002E6873"/>
    <w:rsid w:val="002F3F95"/>
    <w:rsid w:val="00300155"/>
    <w:rsid w:val="00300253"/>
    <w:rsid w:val="0030390C"/>
    <w:rsid w:val="00304C8C"/>
    <w:rsid w:val="00305ACA"/>
    <w:rsid w:val="00317136"/>
    <w:rsid w:val="003212AD"/>
    <w:rsid w:val="0032415C"/>
    <w:rsid w:val="00327DB2"/>
    <w:rsid w:val="0033204E"/>
    <w:rsid w:val="00334635"/>
    <w:rsid w:val="00343D3D"/>
    <w:rsid w:val="0034529D"/>
    <w:rsid w:val="00347512"/>
    <w:rsid w:val="00347BD8"/>
    <w:rsid w:val="003531C1"/>
    <w:rsid w:val="00353EA1"/>
    <w:rsid w:val="00361745"/>
    <w:rsid w:val="003677A1"/>
    <w:rsid w:val="00367ED6"/>
    <w:rsid w:val="00371817"/>
    <w:rsid w:val="003741AA"/>
    <w:rsid w:val="00374D8B"/>
    <w:rsid w:val="0037792F"/>
    <w:rsid w:val="00383623"/>
    <w:rsid w:val="00385DD6"/>
    <w:rsid w:val="003953DD"/>
    <w:rsid w:val="003A0731"/>
    <w:rsid w:val="003A6214"/>
    <w:rsid w:val="003A7780"/>
    <w:rsid w:val="003B1F93"/>
    <w:rsid w:val="003B251A"/>
    <w:rsid w:val="003B5573"/>
    <w:rsid w:val="003B6CD0"/>
    <w:rsid w:val="003B6DDA"/>
    <w:rsid w:val="003C11BE"/>
    <w:rsid w:val="003C12B9"/>
    <w:rsid w:val="003C24D6"/>
    <w:rsid w:val="003C3DE5"/>
    <w:rsid w:val="003C4D97"/>
    <w:rsid w:val="003C7306"/>
    <w:rsid w:val="003D1BF0"/>
    <w:rsid w:val="003D7AC9"/>
    <w:rsid w:val="003F3A95"/>
    <w:rsid w:val="003F5F7F"/>
    <w:rsid w:val="00404C5D"/>
    <w:rsid w:val="00405A0C"/>
    <w:rsid w:val="004112B7"/>
    <w:rsid w:val="0041228D"/>
    <w:rsid w:val="0042593E"/>
    <w:rsid w:val="00430C1D"/>
    <w:rsid w:val="00431F07"/>
    <w:rsid w:val="004327C3"/>
    <w:rsid w:val="00433311"/>
    <w:rsid w:val="0044601C"/>
    <w:rsid w:val="00447387"/>
    <w:rsid w:val="004473FC"/>
    <w:rsid w:val="00451801"/>
    <w:rsid w:val="00455217"/>
    <w:rsid w:val="00462D44"/>
    <w:rsid w:val="0046579B"/>
    <w:rsid w:val="0046596B"/>
    <w:rsid w:val="004707F8"/>
    <w:rsid w:val="00471BED"/>
    <w:rsid w:val="00481B9E"/>
    <w:rsid w:val="004916AE"/>
    <w:rsid w:val="00492FC9"/>
    <w:rsid w:val="004955CE"/>
    <w:rsid w:val="004956A4"/>
    <w:rsid w:val="0049644C"/>
    <w:rsid w:val="004A08DC"/>
    <w:rsid w:val="004A7399"/>
    <w:rsid w:val="004B1AFA"/>
    <w:rsid w:val="004B5A0F"/>
    <w:rsid w:val="004C376C"/>
    <w:rsid w:val="004D3030"/>
    <w:rsid w:val="004D7287"/>
    <w:rsid w:val="004D7932"/>
    <w:rsid w:val="004E0EFC"/>
    <w:rsid w:val="004E396D"/>
    <w:rsid w:val="004E55DB"/>
    <w:rsid w:val="004E680E"/>
    <w:rsid w:val="004E7EAF"/>
    <w:rsid w:val="004F1263"/>
    <w:rsid w:val="004F2248"/>
    <w:rsid w:val="00504DBC"/>
    <w:rsid w:val="005055A7"/>
    <w:rsid w:val="00507FBE"/>
    <w:rsid w:val="00511B2F"/>
    <w:rsid w:val="00512ADA"/>
    <w:rsid w:val="00525582"/>
    <w:rsid w:val="00526ACC"/>
    <w:rsid w:val="00536E0B"/>
    <w:rsid w:val="00536F28"/>
    <w:rsid w:val="00542788"/>
    <w:rsid w:val="0054678C"/>
    <w:rsid w:val="00550A21"/>
    <w:rsid w:val="00551F70"/>
    <w:rsid w:val="00555275"/>
    <w:rsid w:val="005571E1"/>
    <w:rsid w:val="005579B5"/>
    <w:rsid w:val="0056153C"/>
    <w:rsid w:val="00561B6E"/>
    <w:rsid w:val="0056726E"/>
    <w:rsid w:val="0057015F"/>
    <w:rsid w:val="005861CB"/>
    <w:rsid w:val="00593EDC"/>
    <w:rsid w:val="00594837"/>
    <w:rsid w:val="00596C30"/>
    <w:rsid w:val="00597A9C"/>
    <w:rsid w:val="005A2A3B"/>
    <w:rsid w:val="005B48E2"/>
    <w:rsid w:val="005C0B14"/>
    <w:rsid w:val="005C2E42"/>
    <w:rsid w:val="005C3655"/>
    <w:rsid w:val="005C7238"/>
    <w:rsid w:val="005C7DAC"/>
    <w:rsid w:val="005D4A18"/>
    <w:rsid w:val="005D4BC8"/>
    <w:rsid w:val="005E1462"/>
    <w:rsid w:val="005E7850"/>
    <w:rsid w:val="005E7886"/>
    <w:rsid w:val="005F0FB9"/>
    <w:rsid w:val="005F42F6"/>
    <w:rsid w:val="005F4A81"/>
    <w:rsid w:val="005F512B"/>
    <w:rsid w:val="005F54A0"/>
    <w:rsid w:val="005F58D7"/>
    <w:rsid w:val="00601FE5"/>
    <w:rsid w:val="00610325"/>
    <w:rsid w:val="00610C65"/>
    <w:rsid w:val="00616891"/>
    <w:rsid w:val="00616E6A"/>
    <w:rsid w:val="00617174"/>
    <w:rsid w:val="00617B93"/>
    <w:rsid w:val="00617D6D"/>
    <w:rsid w:val="00621F3A"/>
    <w:rsid w:val="00622BCE"/>
    <w:rsid w:val="006232FF"/>
    <w:rsid w:val="00623EBE"/>
    <w:rsid w:val="00627ED4"/>
    <w:rsid w:val="00641A19"/>
    <w:rsid w:val="00644D1C"/>
    <w:rsid w:val="006603D8"/>
    <w:rsid w:val="006644C9"/>
    <w:rsid w:val="00671550"/>
    <w:rsid w:val="006778EE"/>
    <w:rsid w:val="0068141E"/>
    <w:rsid w:val="00682DAD"/>
    <w:rsid w:val="00684337"/>
    <w:rsid w:val="00684556"/>
    <w:rsid w:val="0069417A"/>
    <w:rsid w:val="00694D51"/>
    <w:rsid w:val="006950BA"/>
    <w:rsid w:val="006A2E9E"/>
    <w:rsid w:val="006A61A1"/>
    <w:rsid w:val="006B09E2"/>
    <w:rsid w:val="006B1476"/>
    <w:rsid w:val="006B496C"/>
    <w:rsid w:val="006C2A18"/>
    <w:rsid w:val="006C4B57"/>
    <w:rsid w:val="006C6C43"/>
    <w:rsid w:val="006D4289"/>
    <w:rsid w:val="006D5700"/>
    <w:rsid w:val="006E7485"/>
    <w:rsid w:val="006F5D83"/>
    <w:rsid w:val="00706CF2"/>
    <w:rsid w:val="007134A1"/>
    <w:rsid w:val="00723E08"/>
    <w:rsid w:val="00724C5B"/>
    <w:rsid w:val="00730AA5"/>
    <w:rsid w:val="00731A06"/>
    <w:rsid w:val="00736A1C"/>
    <w:rsid w:val="007401FA"/>
    <w:rsid w:val="0074408A"/>
    <w:rsid w:val="007455A6"/>
    <w:rsid w:val="00750081"/>
    <w:rsid w:val="0075023A"/>
    <w:rsid w:val="00751BD3"/>
    <w:rsid w:val="007536FF"/>
    <w:rsid w:val="007557D1"/>
    <w:rsid w:val="00755DC4"/>
    <w:rsid w:val="007653B4"/>
    <w:rsid w:val="00766CA2"/>
    <w:rsid w:val="007777F3"/>
    <w:rsid w:val="00782E77"/>
    <w:rsid w:val="00783726"/>
    <w:rsid w:val="007925AC"/>
    <w:rsid w:val="00792DE9"/>
    <w:rsid w:val="00794258"/>
    <w:rsid w:val="007A4A9F"/>
    <w:rsid w:val="007A75F2"/>
    <w:rsid w:val="007A7F84"/>
    <w:rsid w:val="007B0E4B"/>
    <w:rsid w:val="007B33EC"/>
    <w:rsid w:val="007C1C18"/>
    <w:rsid w:val="007C4401"/>
    <w:rsid w:val="007D13C5"/>
    <w:rsid w:val="007D319A"/>
    <w:rsid w:val="007F1C57"/>
    <w:rsid w:val="007F77A7"/>
    <w:rsid w:val="00801B70"/>
    <w:rsid w:val="00807F05"/>
    <w:rsid w:val="00810642"/>
    <w:rsid w:val="00812DAF"/>
    <w:rsid w:val="00815E88"/>
    <w:rsid w:val="00816A3B"/>
    <w:rsid w:val="00817397"/>
    <w:rsid w:val="00817832"/>
    <w:rsid w:val="00820BBF"/>
    <w:rsid w:val="00821D08"/>
    <w:rsid w:val="00825BDE"/>
    <w:rsid w:val="0083307F"/>
    <w:rsid w:val="00835B7B"/>
    <w:rsid w:val="0084156B"/>
    <w:rsid w:val="00845CDC"/>
    <w:rsid w:val="008504F1"/>
    <w:rsid w:val="0085167A"/>
    <w:rsid w:val="008575E6"/>
    <w:rsid w:val="00866A59"/>
    <w:rsid w:val="00873204"/>
    <w:rsid w:val="008739DF"/>
    <w:rsid w:val="00875A65"/>
    <w:rsid w:val="00880090"/>
    <w:rsid w:val="00881858"/>
    <w:rsid w:val="00883A1A"/>
    <w:rsid w:val="00885DE7"/>
    <w:rsid w:val="00893DEF"/>
    <w:rsid w:val="0089743C"/>
    <w:rsid w:val="008A0322"/>
    <w:rsid w:val="008A4686"/>
    <w:rsid w:val="008A6E48"/>
    <w:rsid w:val="008B0E9C"/>
    <w:rsid w:val="008B3BE8"/>
    <w:rsid w:val="008C53A5"/>
    <w:rsid w:val="008C7D36"/>
    <w:rsid w:val="008D0212"/>
    <w:rsid w:val="008D38F1"/>
    <w:rsid w:val="008E15BE"/>
    <w:rsid w:val="008E320D"/>
    <w:rsid w:val="008E7E09"/>
    <w:rsid w:val="008F06EB"/>
    <w:rsid w:val="008F645D"/>
    <w:rsid w:val="0090532C"/>
    <w:rsid w:val="00906231"/>
    <w:rsid w:val="00906587"/>
    <w:rsid w:val="00911C13"/>
    <w:rsid w:val="00913DED"/>
    <w:rsid w:val="00920FC0"/>
    <w:rsid w:val="0092142F"/>
    <w:rsid w:val="00925CD0"/>
    <w:rsid w:val="0092667E"/>
    <w:rsid w:val="009309B6"/>
    <w:rsid w:val="0093544F"/>
    <w:rsid w:val="0093737E"/>
    <w:rsid w:val="00945102"/>
    <w:rsid w:val="009506EF"/>
    <w:rsid w:val="00957C2B"/>
    <w:rsid w:val="00960639"/>
    <w:rsid w:val="00961EA3"/>
    <w:rsid w:val="00963E74"/>
    <w:rsid w:val="009715A0"/>
    <w:rsid w:val="0097209D"/>
    <w:rsid w:val="009741A3"/>
    <w:rsid w:val="009840D6"/>
    <w:rsid w:val="00987D8F"/>
    <w:rsid w:val="0099784E"/>
    <w:rsid w:val="009B0EE3"/>
    <w:rsid w:val="009B7432"/>
    <w:rsid w:val="009C10C1"/>
    <w:rsid w:val="009C2C9A"/>
    <w:rsid w:val="009C7C86"/>
    <w:rsid w:val="009D1B28"/>
    <w:rsid w:val="009D1EF7"/>
    <w:rsid w:val="009D396D"/>
    <w:rsid w:val="009D4BB3"/>
    <w:rsid w:val="009D757C"/>
    <w:rsid w:val="009E0865"/>
    <w:rsid w:val="009E37EE"/>
    <w:rsid w:val="009E7847"/>
    <w:rsid w:val="009F3DE1"/>
    <w:rsid w:val="009F4D8B"/>
    <w:rsid w:val="009F5FEC"/>
    <w:rsid w:val="00A025FF"/>
    <w:rsid w:val="00A13A34"/>
    <w:rsid w:val="00A153D0"/>
    <w:rsid w:val="00A214AA"/>
    <w:rsid w:val="00A2549D"/>
    <w:rsid w:val="00A33DF6"/>
    <w:rsid w:val="00A37C33"/>
    <w:rsid w:val="00A40B59"/>
    <w:rsid w:val="00A4138F"/>
    <w:rsid w:val="00A46E69"/>
    <w:rsid w:val="00A551DC"/>
    <w:rsid w:val="00A556D7"/>
    <w:rsid w:val="00A56F80"/>
    <w:rsid w:val="00A5752A"/>
    <w:rsid w:val="00A604B4"/>
    <w:rsid w:val="00A619D7"/>
    <w:rsid w:val="00A61E93"/>
    <w:rsid w:val="00A629ED"/>
    <w:rsid w:val="00A64FFC"/>
    <w:rsid w:val="00A67149"/>
    <w:rsid w:val="00A719E6"/>
    <w:rsid w:val="00A74001"/>
    <w:rsid w:val="00A74EF6"/>
    <w:rsid w:val="00A75DED"/>
    <w:rsid w:val="00A874A9"/>
    <w:rsid w:val="00A93937"/>
    <w:rsid w:val="00A94047"/>
    <w:rsid w:val="00A95A86"/>
    <w:rsid w:val="00A95FF0"/>
    <w:rsid w:val="00AA0C4B"/>
    <w:rsid w:val="00AA5A2B"/>
    <w:rsid w:val="00AB2D58"/>
    <w:rsid w:val="00AC018B"/>
    <w:rsid w:val="00AC0786"/>
    <w:rsid w:val="00AC0887"/>
    <w:rsid w:val="00AC26D2"/>
    <w:rsid w:val="00AC336D"/>
    <w:rsid w:val="00AC548F"/>
    <w:rsid w:val="00AC6584"/>
    <w:rsid w:val="00AC7314"/>
    <w:rsid w:val="00AD73E8"/>
    <w:rsid w:val="00AE13D7"/>
    <w:rsid w:val="00AE6877"/>
    <w:rsid w:val="00AF0D41"/>
    <w:rsid w:val="00AF119C"/>
    <w:rsid w:val="00AF2042"/>
    <w:rsid w:val="00B00652"/>
    <w:rsid w:val="00B05235"/>
    <w:rsid w:val="00B05B82"/>
    <w:rsid w:val="00B127FC"/>
    <w:rsid w:val="00B129E0"/>
    <w:rsid w:val="00B16BA0"/>
    <w:rsid w:val="00B24562"/>
    <w:rsid w:val="00B2792A"/>
    <w:rsid w:val="00B40B06"/>
    <w:rsid w:val="00B4134B"/>
    <w:rsid w:val="00B444ED"/>
    <w:rsid w:val="00B50758"/>
    <w:rsid w:val="00B5076B"/>
    <w:rsid w:val="00B5118F"/>
    <w:rsid w:val="00B57CCC"/>
    <w:rsid w:val="00B602D6"/>
    <w:rsid w:val="00B61BDE"/>
    <w:rsid w:val="00B621CD"/>
    <w:rsid w:val="00B631A8"/>
    <w:rsid w:val="00B66881"/>
    <w:rsid w:val="00B66F96"/>
    <w:rsid w:val="00B6709E"/>
    <w:rsid w:val="00B672A3"/>
    <w:rsid w:val="00B70C98"/>
    <w:rsid w:val="00B7311F"/>
    <w:rsid w:val="00B805FB"/>
    <w:rsid w:val="00B80715"/>
    <w:rsid w:val="00B81007"/>
    <w:rsid w:val="00B82337"/>
    <w:rsid w:val="00B82698"/>
    <w:rsid w:val="00B86E1B"/>
    <w:rsid w:val="00B87E04"/>
    <w:rsid w:val="00B91356"/>
    <w:rsid w:val="00B93610"/>
    <w:rsid w:val="00B93A8B"/>
    <w:rsid w:val="00B9657C"/>
    <w:rsid w:val="00B97AB2"/>
    <w:rsid w:val="00BA1A44"/>
    <w:rsid w:val="00BA269D"/>
    <w:rsid w:val="00BA77E8"/>
    <w:rsid w:val="00BC130B"/>
    <w:rsid w:val="00BC681B"/>
    <w:rsid w:val="00BD0023"/>
    <w:rsid w:val="00BD7BF8"/>
    <w:rsid w:val="00BE0679"/>
    <w:rsid w:val="00BE1D80"/>
    <w:rsid w:val="00BE1EAE"/>
    <w:rsid w:val="00BF5335"/>
    <w:rsid w:val="00BF5A30"/>
    <w:rsid w:val="00BF7983"/>
    <w:rsid w:val="00C03B39"/>
    <w:rsid w:val="00C20AC8"/>
    <w:rsid w:val="00C21E5A"/>
    <w:rsid w:val="00C26691"/>
    <w:rsid w:val="00C30ED8"/>
    <w:rsid w:val="00C41DA3"/>
    <w:rsid w:val="00C443CB"/>
    <w:rsid w:val="00C506BD"/>
    <w:rsid w:val="00C52BB6"/>
    <w:rsid w:val="00C60B51"/>
    <w:rsid w:val="00C65758"/>
    <w:rsid w:val="00C7235F"/>
    <w:rsid w:val="00C737E9"/>
    <w:rsid w:val="00C74D12"/>
    <w:rsid w:val="00C74E42"/>
    <w:rsid w:val="00C770DD"/>
    <w:rsid w:val="00C77422"/>
    <w:rsid w:val="00C778B9"/>
    <w:rsid w:val="00C77BA4"/>
    <w:rsid w:val="00C8083E"/>
    <w:rsid w:val="00C81783"/>
    <w:rsid w:val="00C81F33"/>
    <w:rsid w:val="00C84AC4"/>
    <w:rsid w:val="00C84C5E"/>
    <w:rsid w:val="00C87191"/>
    <w:rsid w:val="00C924C5"/>
    <w:rsid w:val="00C95541"/>
    <w:rsid w:val="00CA1591"/>
    <w:rsid w:val="00CB41E5"/>
    <w:rsid w:val="00CB53FB"/>
    <w:rsid w:val="00CC267E"/>
    <w:rsid w:val="00CC3233"/>
    <w:rsid w:val="00CC6791"/>
    <w:rsid w:val="00CC6A62"/>
    <w:rsid w:val="00CD0DE0"/>
    <w:rsid w:val="00CD6D72"/>
    <w:rsid w:val="00CD738A"/>
    <w:rsid w:val="00CE1340"/>
    <w:rsid w:val="00CE41CA"/>
    <w:rsid w:val="00CE4B39"/>
    <w:rsid w:val="00CE6BEF"/>
    <w:rsid w:val="00CF54D9"/>
    <w:rsid w:val="00D00EEB"/>
    <w:rsid w:val="00D030CD"/>
    <w:rsid w:val="00D1005E"/>
    <w:rsid w:val="00D112D5"/>
    <w:rsid w:val="00D12597"/>
    <w:rsid w:val="00D1293C"/>
    <w:rsid w:val="00D13852"/>
    <w:rsid w:val="00D14159"/>
    <w:rsid w:val="00D14229"/>
    <w:rsid w:val="00D14389"/>
    <w:rsid w:val="00D14F0E"/>
    <w:rsid w:val="00D17FEA"/>
    <w:rsid w:val="00D20B62"/>
    <w:rsid w:val="00D22924"/>
    <w:rsid w:val="00D2454C"/>
    <w:rsid w:val="00D257B7"/>
    <w:rsid w:val="00D26A98"/>
    <w:rsid w:val="00D2742D"/>
    <w:rsid w:val="00D301DE"/>
    <w:rsid w:val="00D33013"/>
    <w:rsid w:val="00D36DFB"/>
    <w:rsid w:val="00D40D67"/>
    <w:rsid w:val="00D43BF5"/>
    <w:rsid w:val="00D441E0"/>
    <w:rsid w:val="00D52C0B"/>
    <w:rsid w:val="00D57CD6"/>
    <w:rsid w:val="00D648C2"/>
    <w:rsid w:val="00D66124"/>
    <w:rsid w:val="00D6648A"/>
    <w:rsid w:val="00D74B3B"/>
    <w:rsid w:val="00D753A3"/>
    <w:rsid w:val="00D75E69"/>
    <w:rsid w:val="00D77560"/>
    <w:rsid w:val="00D8474B"/>
    <w:rsid w:val="00D84AB4"/>
    <w:rsid w:val="00D960FB"/>
    <w:rsid w:val="00D96238"/>
    <w:rsid w:val="00DA5D61"/>
    <w:rsid w:val="00DA7C0D"/>
    <w:rsid w:val="00DB27C9"/>
    <w:rsid w:val="00DB59FF"/>
    <w:rsid w:val="00DC1CA4"/>
    <w:rsid w:val="00DC23A7"/>
    <w:rsid w:val="00DD329D"/>
    <w:rsid w:val="00DD5DF3"/>
    <w:rsid w:val="00DE1B2C"/>
    <w:rsid w:val="00DF4FD2"/>
    <w:rsid w:val="00DF6336"/>
    <w:rsid w:val="00DF7D5C"/>
    <w:rsid w:val="00E056D3"/>
    <w:rsid w:val="00E063F3"/>
    <w:rsid w:val="00E06D83"/>
    <w:rsid w:val="00E116F4"/>
    <w:rsid w:val="00E12B13"/>
    <w:rsid w:val="00E1317A"/>
    <w:rsid w:val="00E20C47"/>
    <w:rsid w:val="00E24A97"/>
    <w:rsid w:val="00E30A9B"/>
    <w:rsid w:val="00E32409"/>
    <w:rsid w:val="00E338A9"/>
    <w:rsid w:val="00E34930"/>
    <w:rsid w:val="00E42729"/>
    <w:rsid w:val="00E465CD"/>
    <w:rsid w:val="00E470E9"/>
    <w:rsid w:val="00E50599"/>
    <w:rsid w:val="00E540DA"/>
    <w:rsid w:val="00E5598B"/>
    <w:rsid w:val="00E55FD9"/>
    <w:rsid w:val="00E57867"/>
    <w:rsid w:val="00E6073E"/>
    <w:rsid w:val="00E627E4"/>
    <w:rsid w:val="00E67843"/>
    <w:rsid w:val="00E7169A"/>
    <w:rsid w:val="00E71D67"/>
    <w:rsid w:val="00E74D08"/>
    <w:rsid w:val="00E772CA"/>
    <w:rsid w:val="00E80FFA"/>
    <w:rsid w:val="00E8252D"/>
    <w:rsid w:val="00E84A54"/>
    <w:rsid w:val="00E87382"/>
    <w:rsid w:val="00E87405"/>
    <w:rsid w:val="00E90AD4"/>
    <w:rsid w:val="00E92C04"/>
    <w:rsid w:val="00E96631"/>
    <w:rsid w:val="00EA0DB1"/>
    <w:rsid w:val="00EA28F3"/>
    <w:rsid w:val="00EA2E3D"/>
    <w:rsid w:val="00EB0F24"/>
    <w:rsid w:val="00EB3F85"/>
    <w:rsid w:val="00EB4D3F"/>
    <w:rsid w:val="00EC0BAE"/>
    <w:rsid w:val="00ED3C7E"/>
    <w:rsid w:val="00EE238A"/>
    <w:rsid w:val="00EE3360"/>
    <w:rsid w:val="00EE45BA"/>
    <w:rsid w:val="00EE7AF4"/>
    <w:rsid w:val="00EF11C7"/>
    <w:rsid w:val="00EF2AB5"/>
    <w:rsid w:val="00EF34BA"/>
    <w:rsid w:val="00EF6160"/>
    <w:rsid w:val="00EF6CD1"/>
    <w:rsid w:val="00EF7437"/>
    <w:rsid w:val="00F00396"/>
    <w:rsid w:val="00F03EB3"/>
    <w:rsid w:val="00F102D1"/>
    <w:rsid w:val="00F130C3"/>
    <w:rsid w:val="00F14DD4"/>
    <w:rsid w:val="00F15505"/>
    <w:rsid w:val="00F215F8"/>
    <w:rsid w:val="00F30CE4"/>
    <w:rsid w:val="00F30E74"/>
    <w:rsid w:val="00F40D96"/>
    <w:rsid w:val="00F43A51"/>
    <w:rsid w:val="00F449AF"/>
    <w:rsid w:val="00F46777"/>
    <w:rsid w:val="00F5606D"/>
    <w:rsid w:val="00F64021"/>
    <w:rsid w:val="00F7319E"/>
    <w:rsid w:val="00F749C3"/>
    <w:rsid w:val="00F75C3B"/>
    <w:rsid w:val="00F765E1"/>
    <w:rsid w:val="00F82395"/>
    <w:rsid w:val="00F831F8"/>
    <w:rsid w:val="00F83F6C"/>
    <w:rsid w:val="00F84C3F"/>
    <w:rsid w:val="00F85E5F"/>
    <w:rsid w:val="00F8626E"/>
    <w:rsid w:val="00F868DE"/>
    <w:rsid w:val="00F95F9F"/>
    <w:rsid w:val="00FA4F2E"/>
    <w:rsid w:val="00FA652E"/>
    <w:rsid w:val="00FA65FD"/>
    <w:rsid w:val="00FB51FD"/>
    <w:rsid w:val="00FC15D9"/>
    <w:rsid w:val="00FC2AE5"/>
    <w:rsid w:val="00FD538F"/>
    <w:rsid w:val="00FD6709"/>
    <w:rsid w:val="00FE4720"/>
    <w:rsid w:val="00FE642E"/>
    <w:rsid w:val="00FF0112"/>
    <w:rsid w:val="00FF0D51"/>
    <w:rsid w:val="00FF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818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818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818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81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27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rsid w:val="00913DE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446" w:firstLine="709"/>
      <w:jc w:val="both"/>
    </w:pPr>
    <w:rPr>
      <w:rFonts w:ascii="Times New Roman" w:eastAsia="Times New Roman" w:hAnsi="Times New Roman" w:cs="Times New Roman"/>
      <w:spacing w:val="-1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13DED"/>
    <w:rPr>
      <w:rFonts w:ascii="Times New Roman" w:eastAsia="Times New Roman" w:hAnsi="Times New Roman" w:cs="Times New Roman"/>
      <w:spacing w:val="-1"/>
      <w:sz w:val="24"/>
      <w:szCs w:val="24"/>
      <w:shd w:val="clear" w:color="auto" w:fill="FFFFFF"/>
    </w:rPr>
  </w:style>
  <w:style w:type="character" w:styleId="a6">
    <w:name w:val="Strong"/>
    <w:basedOn w:val="a0"/>
    <w:uiPriority w:val="99"/>
    <w:qFormat/>
    <w:rsid w:val="00873204"/>
    <w:rPr>
      <w:b w:val="0"/>
      <w:bCs/>
      <w:i/>
      <w:color w:val="1F497D" w:themeColor="text2"/>
    </w:rPr>
  </w:style>
  <w:style w:type="paragraph" w:styleId="a7">
    <w:name w:val="No Spacing"/>
    <w:link w:val="a8"/>
    <w:uiPriority w:val="99"/>
    <w:qFormat/>
    <w:rsid w:val="00873204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basedOn w:val="a0"/>
    <w:link w:val="a7"/>
    <w:uiPriority w:val="99"/>
    <w:rsid w:val="00873204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EC0BAE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B40B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ody Text Indent"/>
    <w:basedOn w:val="a"/>
    <w:link w:val="ab"/>
    <w:uiPriority w:val="99"/>
    <w:unhideWhenUsed/>
    <w:rsid w:val="00AC658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C6584"/>
  </w:style>
  <w:style w:type="paragraph" w:customStyle="1" w:styleId="Style5">
    <w:name w:val="Style5"/>
    <w:basedOn w:val="a"/>
    <w:uiPriority w:val="99"/>
    <w:rsid w:val="00AC6584"/>
    <w:pPr>
      <w:widowControl w:val="0"/>
      <w:autoSpaceDE w:val="0"/>
      <w:autoSpaceDN w:val="0"/>
      <w:adjustRightInd w:val="0"/>
      <w:spacing w:after="0" w:line="299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AC6584"/>
    <w:rPr>
      <w:rFonts w:ascii="Times New Roman" w:hAnsi="Times New Roman" w:cs="Times New Roman" w:hint="default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0658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06587"/>
  </w:style>
  <w:style w:type="paragraph" w:customStyle="1" w:styleId="1">
    <w:name w:val="Абзац списка1"/>
    <w:basedOn w:val="a"/>
    <w:rsid w:val="008C53A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autoRedefine/>
    <w:rsid w:val="0034529D"/>
    <w:pPr>
      <w:spacing w:after="0" w:line="240" w:lineRule="auto"/>
      <w:ind w:firstLine="705"/>
      <w:jc w:val="both"/>
    </w:pPr>
    <w:rPr>
      <w:rFonts w:ascii="Times New Roman" w:eastAsia="Times New Roman" w:hAnsi="Times New Roman" w:cs="Calibri"/>
      <w:sz w:val="28"/>
      <w:szCs w:val="28"/>
    </w:rPr>
  </w:style>
  <w:style w:type="paragraph" w:styleId="ac">
    <w:name w:val="Body Text"/>
    <w:basedOn w:val="a"/>
    <w:link w:val="ad"/>
    <w:uiPriority w:val="99"/>
    <w:unhideWhenUsed/>
    <w:rsid w:val="00893DE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93DEF"/>
  </w:style>
  <w:style w:type="paragraph" w:customStyle="1" w:styleId="ConsPlusNonformat">
    <w:name w:val="ConsPlusNonformat"/>
    <w:rsid w:val="00555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caption"/>
    <w:basedOn w:val="a"/>
    <w:next w:val="a"/>
    <w:uiPriority w:val="35"/>
    <w:unhideWhenUsed/>
    <w:qFormat/>
    <w:rsid w:val="0031713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">
    <w:name w:val="Emphasis"/>
    <w:basedOn w:val="a0"/>
    <w:qFormat/>
    <w:rsid w:val="00AC018B"/>
    <w:rPr>
      <w:i/>
      <w:iCs/>
    </w:rPr>
  </w:style>
  <w:style w:type="paragraph" w:styleId="af0">
    <w:name w:val="List Bullet"/>
    <w:basedOn w:val="a"/>
    <w:autoRedefine/>
    <w:rsid w:val="00E540DA"/>
    <w:pPr>
      <w:keepNext/>
      <w:suppressLineNumbers/>
      <w:suppressAutoHyphens/>
      <w:spacing w:after="80" w:line="240" w:lineRule="auto"/>
      <w:ind w:firstLine="709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818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818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818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81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27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rsid w:val="00913DE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446" w:firstLine="709"/>
      <w:jc w:val="both"/>
    </w:pPr>
    <w:rPr>
      <w:rFonts w:ascii="Times New Roman" w:eastAsia="Times New Roman" w:hAnsi="Times New Roman" w:cs="Times New Roman"/>
      <w:spacing w:val="-1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13DED"/>
    <w:rPr>
      <w:rFonts w:ascii="Times New Roman" w:eastAsia="Times New Roman" w:hAnsi="Times New Roman" w:cs="Times New Roman"/>
      <w:spacing w:val="-1"/>
      <w:sz w:val="24"/>
      <w:szCs w:val="24"/>
      <w:shd w:val="clear" w:color="auto" w:fill="FFFFFF"/>
    </w:rPr>
  </w:style>
  <w:style w:type="character" w:styleId="a6">
    <w:name w:val="Strong"/>
    <w:basedOn w:val="a0"/>
    <w:uiPriority w:val="99"/>
    <w:qFormat/>
    <w:rsid w:val="00873204"/>
    <w:rPr>
      <w:b w:val="0"/>
      <w:bCs/>
      <w:i/>
      <w:color w:val="1F497D" w:themeColor="text2"/>
    </w:rPr>
  </w:style>
  <w:style w:type="paragraph" w:styleId="a7">
    <w:name w:val="No Spacing"/>
    <w:link w:val="a8"/>
    <w:uiPriority w:val="99"/>
    <w:qFormat/>
    <w:rsid w:val="00873204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basedOn w:val="a0"/>
    <w:link w:val="a7"/>
    <w:uiPriority w:val="99"/>
    <w:rsid w:val="00873204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EC0BAE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B40B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ody Text Indent"/>
    <w:basedOn w:val="a"/>
    <w:link w:val="ab"/>
    <w:uiPriority w:val="99"/>
    <w:unhideWhenUsed/>
    <w:rsid w:val="00AC658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C6584"/>
  </w:style>
  <w:style w:type="paragraph" w:customStyle="1" w:styleId="Style5">
    <w:name w:val="Style5"/>
    <w:basedOn w:val="a"/>
    <w:uiPriority w:val="99"/>
    <w:rsid w:val="00AC6584"/>
    <w:pPr>
      <w:widowControl w:val="0"/>
      <w:autoSpaceDE w:val="0"/>
      <w:autoSpaceDN w:val="0"/>
      <w:adjustRightInd w:val="0"/>
      <w:spacing w:after="0" w:line="299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AC6584"/>
    <w:rPr>
      <w:rFonts w:ascii="Times New Roman" w:hAnsi="Times New Roman" w:cs="Times New Roman" w:hint="default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0658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06587"/>
  </w:style>
  <w:style w:type="paragraph" w:customStyle="1" w:styleId="1">
    <w:name w:val="Абзац списка1"/>
    <w:basedOn w:val="a"/>
    <w:rsid w:val="008C53A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autoRedefine/>
    <w:rsid w:val="0034529D"/>
    <w:pPr>
      <w:spacing w:after="0" w:line="240" w:lineRule="auto"/>
      <w:ind w:firstLine="705"/>
      <w:jc w:val="both"/>
    </w:pPr>
    <w:rPr>
      <w:rFonts w:ascii="Times New Roman" w:eastAsia="Times New Roman" w:hAnsi="Times New Roman" w:cs="Calibri"/>
      <w:sz w:val="28"/>
      <w:szCs w:val="28"/>
    </w:rPr>
  </w:style>
  <w:style w:type="paragraph" w:styleId="ac">
    <w:name w:val="Body Text"/>
    <w:basedOn w:val="a"/>
    <w:link w:val="ad"/>
    <w:uiPriority w:val="99"/>
    <w:unhideWhenUsed/>
    <w:rsid w:val="00893DE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93DEF"/>
  </w:style>
  <w:style w:type="paragraph" w:customStyle="1" w:styleId="ConsPlusNonformat">
    <w:name w:val="ConsPlusNonformat"/>
    <w:rsid w:val="00555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caption"/>
    <w:basedOn w:val="a"/>
    <w:next w:val="a"/>
    <w:uiPriority w:val="35"/>
    <w:unhideWhenUsed/>
    <w:qFormat/>
    <w:rsid w:val="0031713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">
    <w:name w:val="Emphasis"/>
    <w:basedOn w:val="a0"/>
    <w:qFormat/>
    <w:rsid w:val="00AC018B"/>
    <w:rPr>
      <w:i/>
      <w:iCs/>
    </w:rPr>
  </w:style>
  <w:style w:type="paragraph" w:styleId="af0">
    <w:name w:val="List Bullet"/>
    <w:basedOn w:val="a"/>
    <w:autoRedefine/>
    <w:rsid w:val="00E540DA"/>
    <w:pPr>
      <w:keepNext/>
      <w:suppressLineNumbers/>
      <w:suppressAutoHyphens/>
      <w:spacing w:after="80" w:line="240" w:lineRule="auto"/>
      <w:ind w:firstLine="709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1A66D-A801-4970-BEC4-58339620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20</Pages>
  <Words>7347</Words>
  <Characters>41880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Республики Хакасия</Company>
  <LinksUpToDate>false</LinksUpToDate>
  <CharactersWithSpaces>49129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КЕРШМ</dc:creator>
  <cp:lastModifiedBy>Кириллова Анна Валериевна</cp:lastModifiedBy>
  <cp:revision>29</cp:revision>
  <cp:lastPrinted>2017-05-30T07:40:00Z</cp:lastPrinted>
  <dcterms:created xsi:type="dcterms:W3CDTF">2017-05-31T03:31:00Z</dcterms:created>
  <dcterms:modified xsi:type="dcterms:W3CDTF">2017-06-21T08:44:00Z</dcterms:modified>
</cp:coreProperties>
</file>